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DE14A" w14:textId="3DF44577" w:rsidR="005069DE" w:rsidRPr="00CE4867" w:rsidRDefault="00E05A61" w:rsidP="00E05A61">
      <w:pPr>
        <w:jc w:val="center"/>
        <w:rPr>
          <w:sz w:val="24"/>
          <w:szCs w:val="24"/>
        </w:rPr>
      </w:pPr>
      <w:r w:rsidRPr="00E05A61">
        <w:rPr>
          <w:sz w:val="40"/>
          <w:szCs w:val="40"/>
        </w:rPr>
        <w:t>e15.1c Xen.2.4.29-</w:t>
      </w:r>
      <w:r w:rsidR="00F04085">
        <w:rPr>
          <w:sz w:val="40"/>
          <w:szCs w:val="40"/>
        </w:rPr>
        <w:t>2.4.</w:t>
      </w:r>
      <w:r w:rsidR="00F04085" w:rsidRPr="0075445C">
        <w:rPr>
          <w:sz w:val="40"/>
          <w:szCs w:val="40"/>
        </w:rPr>
        <w:t>3</w:t>
      </w:r>
      <w:r w:rsidR="00BA03FF">
        <w:rPr>
          <w:sz w:val="40"/>
          <w:szCs w:val="40"/>
        </w:rPr>
        <w:t>3</w:t>
      </w:r>
      <w:r w:rsidR="00CE4867">
        <w:rPr>
          <w:sz w:val="40"/>
          <w:szCs w:val="40"/>
        </w:rPr>
        <w:br/>
      </w:r>
      <w:r w:rsidR="00CE4867">
        <w:rPr>
          <w:sz w:val="24"/>
          <w:szCs w:val="24"/>
        </w:rPr>
        <w:t>Deklination des Duals</w:t>
      </w:r>
    </w:p>
    <w:tbl>
      <w:tblPr>
        <w:tblStyle w:val="Tabellen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1294"/>
        <w:gridCol w:w="1678"/>
        <w:gridCol w:w="1418"/>
        <w:gridCol w:w="1417"/>
        <w:gridCol w:w="1418"/>
        <w:gridCol w:w="3124"/>
      </w:tblGrid>
      <w:tr w:rsidR="00A51D04" w14:paraId="74F0EAE3" w14:textId="77777777" w:rsidTr="00A51D04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DA3916" w14:textId="77777777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2CCB7D8" w14:textId="380EC300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A51D04">
              <w:rPr>
                <w:rFonts w:ascii="Alkaios" w:hAnsi="Alkaios" w:cs="Arial"/>
                <w:color w:val="3A7C22" w:themeColor="accent6" w:themeShade="BF"/>
                <w:sz w:val="18"/>
                <w:szCs w:val="18"/>
              </w:rPr>
              <w:t xml:space="preserve">m./n. – f.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B58B72" w14:textId="295B9BB6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A51D04">
              <w:rPr>
                <w:rFonts w:ascii="Alkaios" w:hAnsi="Alkaios"/>
                <w:color w:val="3A7C22" w:themeColor="accent6" w:themeShade="BF"/>
                <w:sz w:val="18"/>
                <w:szCs w:val="18"/>
              </w:rPr>
              <w:t>o-Dekl.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B3742D" w14:textId="3A715E3F" w:rsidR="00A51D04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A51D04">
              <w:rPr>
                <w:rFonts w:ascii="Alkaios" w:hAnsi="Alkaios"/>
                <w:color w:val="3A7C22" w:themeColor="accent6" w:themeShade="BF"/>
                <w:sz w:val="18"/>
                <w:szCs w:val="18"/>
              </w:rPr>
              <w:t>a-Dekl.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7C9B12" w14:textId="2A397B84" w:rsidR="00A51D04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A51D04">
              <w:rPr>
                <w:rFonts w:ascii="Alkaios" w:hAnsi="Alkaios"/>
                <w:color w:val="3A7C22" w:themeColor="accent6" w:themeShade="BF"/>
                <w:sz w:val="18"/>
                <w:szCs w:val="18"/>
              </w:rPr>
              <w:t>3. Dekl.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0B55C846" w14:textId="7A444E9E" w:rsidR="00A51D04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A51D04">
              <w:rPr>
                <w:rFonts w:ascii="Alkaios" w:hAnsi="Alkaios"/>
                <w:color w:val="3A7C22" w:themeColor="accent6" w:themeShade="BF"/>
                <w:sz w:val="18"/>
                <w:szCs w:val="18"/>
                <w:lang w:val="el-GR"/>
              </w:rPr>
              <w:t xml:space="preserve">3. </w:t>
            </w:r>
            <w:r w:rsidRPr="00A51D04">
              <w:rPr>
                <w:rFonts w:ascii="Alkaios" w:hAnsi="Alkaios"/>
                <w:color w:val="3A7C22" w:themeColor="accent6" w:themeShade="BF"/>
                <w:sz w:val="18"/>
                <w:szCs w:val="18"/>
              </w:rPr>
              <w:t>Dekl. (semivokal.)</w:t>
            </w:r>
          </w:p>
        </w:tc>
      </w:tr>
      <w:tr w:rsidR="00A51D04" w14:paraId="1AC284BA" w14:textId="77777777" w:rsidTr="00A51D04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925FBC" w14:textId="77777777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F7D86" w14:textId="002017AA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3E1DFB">
              <w:rPr>
                <w:rFonts w:ascii="Alkaios" w:hAnsi="Alkaios"/>
                <w:color w:val="C00000"/>
                <w:sz w:val="16"/>
                <w:szCs w:val="16"/>
              </w:rPr>
              <w:t>beide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F496F" w14:textId="4DBE8F74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 w:rsidRPr="003E1DFB">
              <w:rPr>
                <w:rFonts w:ascii="Alkaios" w:hAnsi="Alkaios"/>
                <w:color w:val="C00000"/>
                <w:sz w:val="16"/>
                <w:szCs w:val="16"/>
              </w:rPr>
              <w:t xml:space="preserve">die </w:t>
            </w:r>
            <w:r>
              <w:rPr>
                <w:rFonts w:ascii="Alkaios" w:hAnsi="Alkaios"/>
                <w:color w:val="C00000"/>
                <w:sz w:val="16"/>
                <w:szCs w:val="16"/>
              </w:rPr>
              <w:t>beiden</w:t>
            </w:r>
            <w:r w:rsidRPr="003E1DFB">
              <w:rPr>
                <w:rFonts w:ascii="Alkaios" w:hAnsi="Alkaios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lkaios" w:hAnsi="Alkaios"/>
                <w:color w:val="C00000"/>
                <w:sz w:val="16"/>
                <w:szCs w:val="16"/>
              </w:rPr>
              <w:t>Brüder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F34D" w14:textId="3DE2B42D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>
              <w:rPr>
                <w:rFonts w:ascii="Alkaios" w:hAnsi="Alkaios"/>
                <w:color w:val="C00000"/>
                <w:sz w:val="16"/>
                <w:szCs w:val="16"/>
              </w:rPr>
              <w:t>zwei Seelen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B1DA" w14:textId="2AE4D9A7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>
              <w:rPr>
                <w:rFonts w:ascii="Alkaios" w:hAnsi="Alkaios"/>
                <w:color w:val="C00000"/>
                <w:sz w:val="16"/>
                <w:szCs w:val="16"/>
              </w:rPr>
              <w:t>die zwei Hände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DF314" w14:textId="3D783B87" w:rsidR="00A51D04" w:rsidRPr="003E1DFB" w:rsidRDefault="00A51D04" w:rsidP="00A51D04">
            <w:pPr>
              <w:jc w:val="center"/>
              <w:rPr>
                <w:rFonts w:ascii="Alkaios" w:hAnsi="Alkaios"/>
                <w:color w:val="C00000"/>
                <w:sz w:val="16"/>
                <w:szCs w:val="16"/>
              </w:rPr>
            </w:pPr>
            <w:r>
              <w:rPr>
                <w:rFonts w:ascii="Alkaios" w:hAnsi="Alkaios"/>
                <w:color w:val="C00000"/>
                <w:sz w:val="16"/>
                <w:szCs w:val="16"/>
              </w:rPr>
              <w:t>beide schönen Städte</w:t>
            </w:r>
          </w:p>
        </w:tc>
      </w:tr>
      <w:tr w:rsidR="00A51D04" w:rsidRPr="007023EC" w14:paraId="64458D41" w14:textId="77777777" w:rsidTr="00A51D04"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DEED8" w14:textId="63173796" w:rsidR="00A51D04" w:rsidRPr="00A51D04" w:rsidRDefault="00A51D04" w:rsidP="00A51D04">
            <w:pPr>
              <w:jc w:val="right"/>
              <w:rPr>
                <w:rFonts w:ascii="Alkaios" w:hAnsi="Alkaios"/>
                <w:sz w:val="16"/>
                <w:szCs w:val="16"/>
              </w:rPr>
            </w:pPr>
            <w:r w:rsidRPr="00A51D04">
              <w:rPr>
                <w:rFonts w:ascii="Alkaios" w:hAnsi="Alkaios"/>
                <w:sz w:val="16"/>
                <w:szCs w:val="16"/>
              </w:rPr>
              <w:t>Nom./Akk.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1A30B5BA" w14:textId="0CBC7134" w:rsidR="00A51D04" w:rsidRPr="00134489" w:rsidRDefault="00A51D04" w:rsidP="00A51D04">
            <w:pPr>
              <w:jc w:val="center"/>
              <w:rPr>
                <w:rFonts w:ascii="Alkaios" w:hAnsi="Alkaios" w:cs="Arial"/>
                <w:sz w:val="20"/>
                <w:szCs w:val="20"/>
                <w:lang w:val="el-GR"/>
              </w:rPr>
            </w:pPr>
            <w:r w:rsidRPr="00134489">
              <w:rPr>
                <w:rFonts w:ascii="Alkaios" w:hAnsi="Alkaios" w:cs="Arial"/>
                <w:sz w:val="20"/>
                <w:szCs w:val="20"/>
                <w:lang w:val="el-GR"/>
              </w:rPr>
              <w:t>ἄμφω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B87191" w14:textId="4486D860" w:rsidR="00A51D04" w:rsidRPr="00134489" w:rsidRDefault="00A51D04" w:rsidP="00A51D04">
            <w:pPr>
              <w:jc w:val="center"/>
              <w:rPr>
                <w:rFonts w:ascii="Alkaios" w:hAnsi="Alkaios" w:cs="Arial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τὼ ἀδελφ</w:t>
            </w:r>
            <w:r w:rsidRPr="00134489">
              <w:rPr>
                <w:rFonts w:ascii="Alkaios" w:hAnsi="Alkaios" w:cs="Arial"/>
                <w:sz w:val="20"/>
                <w:szCs w:val="20"/>
                <w:lang w:val="el-GR"/>
              </w:rPr>
              <w:t>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E9AF14" w14:textId="0B1AF6E6" w:rsidR="00A51D04" w:rsidRPr="005B58A6" w:rsidRDefault="00A51D04" w:rsidP="00A51D04">
            <w:pPr>
              <w:jc w:val="center"/>
              <w:rPr>
                <w:rFonts w:ascii="Alkaios" w:hAnsi="Alkaios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δύο ψυχά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EE5F39" w14:textId="7C193868" w:rsidR="00A51D04" w:rsidRPr="007023EC" w:rsidRDefault="00A51D04" w:rsidP="00A51D04">
            <w:pPr>
              <w:jc w:val="center"/>
              <w:rPr>
                <w:rFonts w:ascii="Alkaios" w:hAnsi="Alkaios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τὼ χεῖρε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01C7AFBB" w14:textId="202903C8" w:rsidR="00A51D04" w:rsidRPr="007023EC" w:rsidRDefault="00A51D04" w:rsidP="00A51D04">
            <w:pPr>
              <w:jc w:val="center"/>
              <w:rPr>
                <w:rFonts w:ascii="Alkaios" w:hAnsi="Alkaios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 xml:space="preserve">καλὰ/ καλὼ πόλει </w:t>
            </w:r>
            <w:r w:rsidRPr="003E1DFB">
              <w:rPr>
                <w:rFonts w:ascii="Alkaios" w:hAnsi="Alkaios"/>
                <w:sz w:val="16"/>
                <w:szCs w:val="16"/>
                <w:lang w:val="el-GR"/>
              </w:rPr>
              <w:t>&lt; π</w:t>
            </w:r>
            <w:r>
              <w:rPr>
                <w:rFonts w:ascii="Alkaios" w:hAnsi="Alkaios"/>
                <w:sz w:val="16"/>
                <w:szCs w:val="16"/>
                <w:lang w:val="el-GR"/>
              </w:rPr>
              <w:t>ό</w:t>
            </w:r>
            <w:r w:rsidRPr="003E1DFB">
              <w:rPr>
                <w:rFonts w:ascii="Alkaios" w:hAnsi="Alkaios"/>
                <w:sz w:val="16"/>
                <w:szCs w:val="16"/>
                <w:lang w:val="el-GR"/>
              </w:rPr>
              <w:t>λε</w:t>
            </w:r>
            <w:r w:rsidRPr="003E1DFB">
              <w:rPr>
                <w:rFonts w:ascii="Times German" w:hAnsi="Times German"/>
                <w:sz w:val="16"/>
                <w:szCs w:val="16"/>
                <w:lang w:val="el-GR"/>
              </w:rPr>
              <w:t>Ø</w:t>
            </w:r>
            <w:r w:rsidRPr="003E1DFB">
              <w:rPr>
                <w:rFonts w:ascii="Alkaios" w:hAnsi="Alkaios"/>
                <w:sz w:val="16"/>
                <w:szCs w:val="16"/>
                <w:lang w:val="el-GR"/>
              </w:rPr>
              <w:t>ε</w:t>
            </w:r>
          </w:p>
        </w:tc>
      </w:tr>
      <w:tr w:rsidR="00A51D04" w:rsidRPr="003E1DFB" w14:paraId="56E98113" w14:textId="77777777" w:rsidTr="00A51D04"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8D146" w14:textId="344F8719" w:rsidR="00A51D04" w:rsidRPr="00A51D04" w:rsidRDefault="00A51D04" w:rsidP="00A51D04">
            <w:pPr>
              <w:jc w:val="right"/>
              <w:rPr>
                <w:rFonts w:ascii="Alkaios" w:hAnsi="Alkaios"/>
                <w:sz w:val="16"/>
                <w:szCs w:val="16"/>
              </w:rPr>
            </w:pPr>
            <w:r w:rsidRPr="00A51D04">
              <w:rPr>
                <w:rFonts w:ascii="Alkaios" w:hAnsi="Alkaios"/>
                <w:sz w:val="16"/>
                <w:szCs w:val="16"/>
              </w:rPr>
              <w:t>Gen./Dat.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13916265" w14:textId="46225193" w:rsidR="00A51D04" w:rsidRPr="00134489" w:rsidRDefault="00A51D04" w:rsidP="00A51D04">
            <w:pPr>
              <w:jc w:val="center"/>
              <w:rPr>
                <w:rFonts w:ascii="Alkaios" w:hAnsi="Alkaios"/>
                <w:sz w:val="20"/>
                <w:szCs w:val="20"/>
              </w:rPr>
            </w:pPr>
            <w:r w:rsidRPr="00134489">
              <w:rPr>
                <w:rFonts w:ascii="Alkaios" w:hAnsi="Alkaios" w:cs="Arial"/>
                <w:sz w:val="20"/>
                <w:szCs w:val="20"/>
                <w:lang w:val="el-GR"/>
              </w:rPr>
              <w:t>ἄμφοιν</w:t>
            </w:r>
            <w:r w:rsidRPr="00134489">
              <w:rPr>
                <w:rFonts w:ascii="Alkaios" w:hAnsi="Alkaios" w:cs="Arial"/>
                <w:sz w:val="20"/>
                <w:szCs w:val="20"/>
              </w:rPr>
              <w:t xml:space="preserve"> –</w:t>
            </w:r>
            <w:r w:rsidRPr="00134489">
              <w:rPr>
                <w:rFonts w:ascii="Alkaios" w:hAnsi="Alkaios" w:cs="Arial"/>
                <w:sz w:val="20"/>
                <w:szCs w:val="20"/>
                <w:lang w:val="el-GR"/>
              </w:rPr>
              <w:t xml:space="preserve"> ἄμφαιν</w:t>
            </w:r>
          </w:p>
        </w:tc>
        <w:tc>
          <w:tcPr>
            <w:tcW w:w="1418" w:type="dxa"/>
          </w:tcPr>
          <w:p w14:paraId="4B7868C0" w14:textId="6AA5ACCA" w:rsidR="00A51D04" w:rsidRPr="00134489" w:rsidRDefault="00A51D04" w:rsidP="00A51D04">
            <w:pPr>
              <w:jc w:val="center"/>
              <w:rPr>
                <w:rFonts w:ascii="Alkaios" w:hAnsi="Alkaios" w:cs="Arial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τοῖν ἀδελφοῖν</w:t>
            </w:r>
            <w:r w:rsidRPr="00134489">
              <w:rPr>
                <w:rFonts w:ascii="Alkaios" w:hAnsi="Alkaios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7" w:type="dxa"/>
          </w:tcPr>
          <w:p w14:paraId="65576018" w14:textId="79752F5D" w:rsidR="00A51D04" w:rsidRPr="005B58A6" w:rsidRDefault="00A51D04" w:rsidP="00A51D04">
            <w:pPr>
              <w:jc w:val="center"/>
              <w:rPr>
                <w:rFonts w:ascii="Alkaios" w:hAnsi="Alkaios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δυοῖν ψυχαῖν</w:t>
            </w:r>
          </w:p>
        </w:tc>
        <w:tc>
          <w:tcPr>
            <w:tcW w:w="1418" w:type="dxa"/>
          </w:tcPr>
          <w:p w14:paraId="640E6A75" w14:textId="04A94C12" w:rsidR="00A51D04" w:rsidRPr="007023EC" w:rsidRDefault="00A51D04" w:rsidP="00A51D04">
            <w:pPr>
              <w:jc w:val="center"/>
              <w:rPr>
                <w:rFonts w:ascii="Alkaios" w:hAnsi="Alkaios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τοῖν χειροῖν</w:t>
            </w:r>
          </w:p>
        </w:tc>
        <w:tc>
          <w:tcPr>
            <w:tcW w:w="3124" w:type="dxa"/>
          </w:tcPr>
          <w:p w14:paraId="1817005E" w14:textId="530BBB97" w:rsidR="00A51D04" w:rsidRPr="003E1DFB" w:rsidRDefault="00A51D04" w:rsidP="00A51D04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Alkaios" w:hAnsi="Alkaios"/>
                <w:sz w:val="20"/>
                <w:szCs w:val="20"/>
                <w:lang w:val="el-GR"/>
              </w:rPr>
              <w:t>καλαῖν/ καλοῖν πολέοιν</w:t>
            </w:r>
            <w:r w:rsidRPr="003E1DFB">
              <w:rPr>
                <w:rFonts w:ascii="Alkaios" w:hAnsi="Alkaios"/>
                <w:sz w:val="20"/>
                <w:szCs w:val="20"/>
                <w:lang w:val="el-GR"/>
              </w:rPr>
              <w:t xml:space="preserve"> </w:t>
            </w:r>
            <w:r w:rsidRPr="003E1DFB">
              <w:rPr>
                <w:rFonts w:ascii="Alkaios" w:hAnsi="Alkaios"/>
                <w:sz w:val="16"/>
                <w:szCs w:val="16"/>
                <w:lang w:val="el-GR"/>
              </w:rPr>
              <w:t>&lt; πολέ</w:t>
            </w:r>
            <w:r w:rsidRPr="003E1DFB">
              <w:rPr>
                <w:rFonts w:ascii="Times German" w:hAnsi="Times German"/>
                <w:sz w:val="16"/>
                <w:szCs w:val="16"/>
                <w:lang w:val="el-GR"/>
              </w:rPr>
              <w:t>Ø</w:t>
            </w:r>
            <w:r>
              <w:rPr>
                <w:rFonts w:ascii="Cambria" w:hAnsi="Cambria"/>
                <w:sz w:val="16"/>
                <w:szCs w:val="16"/>
                <w:lang w:val="el-GR"/>
              </w:rPr>
              <w:t>οιν</w:t>
            </w:r>
          </w:p>
        </w:tc>
      </w:tr>
    </w:tbl>
    <w:p w14:paraId="02B9B4BC" w14:textId="228F23C1" w:rsidR="00496D96" w:rsidRPr="00A51D04" w:rsidRDefault="003E1DFB" w:rsidP="00A51D04">
      <w:pPr>
        <w:spacing w:after="360"/>
        <w:ind w:left="-284" w:right="-851"/>
        <w:rPr>
          <w:rFonts w:ascii="Alkaios" w:hAnsi="Alkaios"/>
          <w:color w:val="3A7C22" w:themeColor="accent6" w:themeShade="BF"/>
          <w:sz w:val="20"/>
          <w:szCs w:val="20"/>
        </w:rPr>
      </w:pPr>
      <w:r w:rsidRPr="00A51D04">
        <w:rPr>
          <w:rFonts w:ascii="Alkaios" w:hAnsi="Alkaios"/>
          <w:color w:val="3A7C22" w:themeColor="accent6" w:themeShade="BF"/>
          <w:sz w:val="20"/>
          <w:szCs w:val="20"/>
        </w:rPr>
        <w:t>Der Artikel ist einendig (</w:t>
      </w:r>
      <w:r w:rsidRPr="00A51D04">
        <w:rPr>
          <w:rFonts w:ascii="Alkaios" w:hAnsi="Alkaios"/>
          <w:color w:val="3A7C22" w:themeColor="accent6" w:themeShade="BF"/>
          <w:sz w:val="20"/>
          <w:szCs w:val="20"/>
          <w:lang w:val="el-GR"/>
        </w:rPr>
        <w:t>τ</w:t>
      </w:r>
      <w:r w:rsidRPr="00A51D04">
        <w:rPr>
          <w:rFonts w:ascii="Alkaios" w:hAnsi="Alkaios" w:cs="Arial"/>
          <w:color w:val="3A7C22" w:themeColor="accent6" w:themeShade="BF"/>
          <w:sz w:val="20"/>
          <w:szCs w:val="20"/>
          <w:lang w:val="el-GR"/>
        </w:rPr>
        <w:t>ώ</w:t>
      </w:r>
      <w:r w:rsidRPr="00A51D04">
        <w:rPr>
          <w:rFonts w:ascii="Alkaios" w:hAnsi="Alkaios" w:cs="Arial"/>
          <w:color w:val="3A7C22" w:themeColor="accent6" w:themeShade="BF"/>
          <w:sz w:val="20"/>
          <w:szCs w:val="20"/>
        </w:rPr>
        <w:t xml:space="preserve">, </w:t>
      </w:r>
      <w:r w:rsidRPr="00A51D04">
        <w:rPr>
          <w:rFonts w:ascii="Alkaios" w:hAnsi="Alkaios" w:cs="Arial"/>
          <w:color w:val="3A7C22" w:themeColor="accent6" w:themeShade="BF"/>
          <w:sz w:val="20"/>
          <w:szCs w:val="20"/>
          <w:lang w:val="el-GR"/>
        </w:rPr>
        <w:t>τοῖν</w:t>
      </w:r>
      <w:r w:rsidRPr="00A51D04">
        <w:rPr>
          <w:rFonts w:ascii="Alkaios" w:hAnsi="Alkaios" w:cs="Arial"/>
          <w:color w:val="3A7C22" w:themeColor="accent6" w:themeShade="BF"/>
          <w:sz w:val="20"/>
          <w:szCs w:val="20"/>
        </w:rPr>
        <w:t>)</w:t>
      </w:r>
      <w:r w:rsidRPr="00A51D04">
        <w:rPr>
          <w:rFonts w:ascii="Alkaios" w:hAnsi="Alkaios"/>
          <w:color w:val="3A7C22" w:themeColor="accent6" w:themeShade="BF"/>
          <w:sz w:val="20"/>
          <w:szCs w:val="20"/>
        </w:rPr>
        <w:t xml:space="preserve">, das Adjektiv wird ein- oder zweiendig gebraucht </w:t>
      </w:r>
      <w:r w:rsidRPr="00A51D04">
        <w:rPr>
          <w:rFonts w:ascii="Alkaios" w:hAnsi="Alkaios"/>
          <w:color w:val="3A7C22" w:themeColor="accent6" w:themeShade="BF"/>
          <w:sz w:val="20"/>
          <w:szCs w:val="20"/>
          <w:lang w:val="el-GR"/>
        </w:rPr>
        <w:t>καλά</w:t>
      </w:r>
      <w:r w:rsidRPr="00A51D04">
        <w:rPr>
          <w:rFonts w:ascii="Alkaios" w:hAnsi="Alkaios"/>
          <w:color w:val="3A7C22" w:themeColor="accent6" w:themeShade="BF"/>
          <w:sz w:val="20"/>
          <w:szCs w:val="20"/>
        </w:rPr>
        <w:t xml:space="preserve">, </w:t>
      </w:r>
      <w:r w:rsidRPr="00A51D04">
        <w:rPr>
          <w:rFonts w:ascii="Alkaios" w:hAnsi="Alkaios"/>
          <w:color w:val="3A7C22" w:themeColor="accent6" w:themeShade="BF"/>
          <w:sz w:val="20"/>
          <w:szCs w:val="20"/>
          <w:lang w:val="el-GR"/>
        </w:rPr>
        <w:t>καλαῖν</w:t>
      </w:r>
      <w:r w:rsidRPr="00A51D04">
        <w:rPr>
          <w:rFonts w:ascii="Alkaios" w:hAnsi="Alkaios"/>
          <w:color w:val="3A7C22" w:themeColor="accent6" w:themeShade="BF"/>
          <w:sz w:val="20"/>
          <w:szCs w:val="20"/>
        </w:rPr>
        <w:t xml:space="preserve"> oder </w:t>
      </w:r>
      <w:r w:rsidRPr="00A51D04">
        <w:rPr>
          <w:rFonts w:ascii="Alkaios" w:hAnsi="Alkaios"/>
          <w:color w:val="3A7C22" w:themeColor="accent6" w:themeShade="BF"/>
          <w:sz w:val="20"/>
          <w:szCs w:val="20"/>
          <w:lang w:val="el-GR"/>
        </w:rPr>
        <w:t>καλώ</w:t>
      </w:r>
      <w:r w:rsidRPr="00A51D04">
        <w:rPr>
          <w:rFonts w:ascii="Alkaios" w:hAnsi="Alkaios"/>
          <w:color w:val="3A7C22" w:themeColor="accent6" w:themeShade="BF"/>
          <w:sz w:val="20"/>
          <w:szCs w:val="20"/>
        </w:rPr>
        <w:t xml:space="preserve">, </w:t>
      </w:r>
      <w:r w:rsidRPr="00A51D04">
        <w:rPr>
          <w:rFonts w:ascii="Alkaios" w:hAnsi="Alkaios"/>
          <w:color w:val="3A7C22" w:themeColor="accent6" w:themeShade="BF"/>
          <w:sz w:val="20"/>
          <w:szCs w:val="20"/>
          <w:lang w:val="el-GR"/>
        </w:rPr>
        <w:t>καλοῖν</w:t>
      </w:r>
      <w:r w:rsidRPr="00A51D04">
        <w:rPr>
          <w:rFonts w:ascii="Alkaios" w:hAnsi="Alkaios"/>
          <w:color w:val="3A7C22" w:themeColor="accent6" w:themeShade="BF"/>
          <w:sz w:val="20"/>
          <w:szCs w:val="20"/>
        </w:rPr>
        <w:t>.</w:t>
      </w: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05A61" w:rsidRPr="000D2D89" w14:paraId="0DED8A6C" w14:textId="77777777" w:rsidTr="00496D96">
        <w:tc>
          <w:tcPr>
            <w:tcW w:w="9782" w:type="dxa"/>
          </w:tcPr>
          <w:p w14:paraId="58AD5D9F" w14:textId="66F4069E" w:rsidR="00E05A61" w:rsidRPr="000D2D89" w:rsidRDefault="00E05A61" w:rsidP="00E23D48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[4.29]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ἐξελθὼν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αὐτὸς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Ἐλευσῖνάδε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συνέλεγεν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ὁπλίτας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πολλοὺς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Πελοποννησίους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ναύαρχος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κατὰ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θάλατταν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ἐφύλαττεν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ὅπως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μηδὲν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εἰσπλέ</w:t>
            </w:r>
            <w:r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αὐτοῖς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ἐπιτηδείων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ὥστε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ταχὺ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πάλιν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ἀπορίᾳ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ἦσαν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Πειραιεῖ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ἄστει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πάλιν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αὖ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μέγα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ἐφρόνουν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Λυσάνδρῳ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οὕτω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προχωρούντων</w:t>
            </w:r>
            <w:r w:rsidR="0028381D" w:rsidRPr="00261ED6">
              <w:rPr>
                <w:vertAlign w:val="superscript"/>
              </w:rPr>
              <w:footnoteReference w:id="1"/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Παυσανίας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βασιλεὺς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φθονήσας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Λυσάνδρῳ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εἰ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κατειργασμένος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ταῦτα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ἅμα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εὐδοκιμήσοι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ἅμα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ἰδίας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ποιήσοιτο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τὰς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Ἀθήνας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πείσας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ἐφόρων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τρεῖς</w:t>
            </w:r>
            <w:r w:rsidR="001C2482">
              <w:rPr>
                <w:rStyle w:val="Funotenzeichen"/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footnoteReference w:id="2"/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ἐξάγει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φρουράν</w:t>
            </w:r>
            <w:r w:rsidRPr="000D2D89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</w:tr>
      <w:tr w:rsidR="00E05A61" w:rsidRPr="00CB7CEA" w14:paraId="047B55F0" w14:textId="77777777" w:rsidTr="00496D96">
        <w:tc>
          <w:tcPr>
            <w:tcW w:w="9782" w:type="dxa"/>
          </w:tcPr>
          <w:p w14:paraId="6CE4115F" w14:textId="639A94B7" w:rsidR="00E05A61" w:rsidRPr="0075445C" w:rsidRDefault="00E05A61" w:rsidP="00E23D48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[4.30]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συνείποντο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σύμμαχοι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πάντες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πλὴν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Βοιωτῶν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Κορινθίων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οὗτοι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ἔλεγον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ὅτι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οὐ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νομίζοιεν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εὐορκεῖν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ἂν</w:t>
            </w:r>
            <w:r w:rsidR="0075445C">
              <w:rPr>
                <w:rStyle w:val="Funotenzeichen"/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footnoteReference w:id="3"/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στρατευόμενοι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</w:t>
            </w:r>
            <w:r w:rsidRPr="0075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Ἀθηναίους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μηδὲν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παράσπονδον</w:t>
            </w:r>
            <w:r w:rsidR="0028381D">
              <w:rPr>
                <w:rStyle w:val="Funotenzeichen"/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footnoteReference w:id="4"/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ποιοῦντας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ἔπραττον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ταῦτα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ὅτι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ἐγίγνωσκον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Λακεδαιμονίους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βουλομένους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τὴν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Ἀθηναίων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χώραν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οἰκείαν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πιστὴν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ποιήσασθαι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Παυσανίας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ἐστρατοπεδεύσατο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τῷ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Ἁλιπέδῳ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καλουμένῳ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πρὸς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τῷ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Πειραιεῖ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δεξιὸν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ἔχων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κέρας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Λύσανδρος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σὺν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τοῖς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μισθοφόροις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τὸ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εὐώνυμον</w:t>
            </w:r>
            <w:r w:rsidRPr="0075445C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</w:tr>
      <w:tr w:rsidR="00E05A61" w:rsidRPr="00CB7CEA" w14:paraId="31B5554B" w14:textId="77777777" w:rsidTr="00496D96">
        <w:tc>
          <w:tcPr>
            <w:tcW w:w="9782" w:type="dxa"/>
          </w:tcPr>
          <w:p w14:paraId="0A9C855F" w14:textId="5698D85A" w:rsidR="00E05A61" w:rsidRPr="00BA03FF" w:rsidRDefault="00E05A61" w:rsidP="00E23D48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[4.31]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πέμπων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πρέσβεις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Παυσανίας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πρὸς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Πειραιεῖ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ἐκέλευεν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ἀπιέναι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τὰ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ἑαυτῶν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ἐπεὶ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οὐκ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ἐπείθοντο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προσέβαλλεν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716180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ὅσον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716180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ἀπὸ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716180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βοῆς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716180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ἕνεκεν</w:t>
            </w:r>
            <w:r w:rsidR="00716180" w:rsidRPr="00261ED6">
              <w:rPr>
                <w:rFonts w:ascii="Alkaios" w:eastAsia="Times New Roman" w:hAnsi="Alkaios" w:cs="Times New Roman"/>
                <w:kern w:val="0"/>
                <w:sz w:val="24"/>
                <w:szCs w:val="24"/>
                <w:vertAlign w:val="superscript"/>
                <w:lang w:val="el-GR" w:eastAsia="de-DE"/>
                <w14:ligatures w14:val="none"/>
              </w:rPr>
              <w:footnoteReference w:id="5"/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ὅπως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μὴ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δῆλος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εἴη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εὐμενὴς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αὐτοῖς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ὤν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ἐπεὶ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οὐδὲν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ἀπὸ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τῆς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προσβολῆς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πράξας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ἀπῆλθε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τῇ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ὑστεραίᾳ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λαβὼν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Λακεδαιμονίων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δύο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μόρας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Ἀθηναίων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ἱππέων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τρεῖς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φυλάς</w:t>
            </w:r>
            <w:r w:rsidR="003D6F1E" w:rsidRPr="00261ED6">
              <w:rPr>
                <w:rFonts w:ascii="Alkaios" w:eastAsia="Times New Roman" w:hAnsi="Alkaios" w:cs="Times New Roman"/>
                <w:kern w:val="0"/>
                <w:sz w:val="24"/>
                <w:szCs w:val="24"/>
                <w:vertAlign w:val="superscript"/>
                <w:lang w:val="el-GR" w:eastAsia="de-DE"/>
                <w14:ligatures w14:val="none"/>
              </w:rPr>
              <w:footnoteReference w:id="6"/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παρῆλθεν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τὸν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κωφὸν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λιμένα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σκοπῶν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πῇ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εὐαποτειχιστότατος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εἴη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Πειραιεύς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</w:tr>
      <w:tr w:rsidR="00E05A61" w:rsidRPr="00CB7CEA" w14:paraId="586C74E3" w14:textId="77777777" w:rsidTr="00496D96">
        <w:tc>
          <w:tcPr>
            <w:tcW w:w="9782" w:type="dxa"/>
          </w:tcPr>
          <w:p w14:paraId="1495F88A" w14:textId="5F6AD454" w:rsidR="00E05A61" w:rsidRPr="00BA03FF" w:rsidRDefault="00E05A61" w:rsidP="00E23D48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[4.32]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ἐπεὶ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ἀπιόντος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αὐτοῦ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προσέθεόν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τινες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πράγματα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παρεῖχον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ἀχθεσθεὶς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παρήγγειλε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ἱππέας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ἐλᾶν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εἰς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αὐτοὺς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ἐνέντας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τὰ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δέκα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ἀφ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ἥβης</w:t>
            </w:r>
            <w:r w:rsidR="0034309F" w:rsidRPr="00261ED6">
              <w:rPr>
                <w:rFonts w:ascii="Alkaios" w:eastAsia="Times New Roman" w:hAnsi="Alkaios" w:cs="Times New Roman"/>
                <w:kern w:val="0"/>
                <w:sz w:val="24"/>
                <w:szCs w:val="24"/>
                <w:vertAlign w:val="superscript"/>
                <w:lang w:val="el-GR" w:eastAsia="de-DE"/>
                <w14:ligatures w14:val="none"/>
              </w:rPr>
              <w:footnoteReference w:id="7"/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συνέπεσθαι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σὺν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τοῖς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ἄλλοις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αὐτὸς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ἐπηκολούθει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ἀπέκτειναν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ἐγγὺς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τριάκοντα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ψιλῶν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ἄλλους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κατεδίωξαν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πρὸς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τὸ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Πειραιοῖ</w:t>
            </w:r>
            <w:r w:rsidR="00383DF7"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footnoteReference w:id="8"/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θέατρον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</w:tr>
      <w:tr w:rsidR="00E05A61" w:rsidRPr="00CB7CEA" w14:paraId="7CD8253E" w14:textId="77777777" w:rsidTr="00496D96">
        <w:tc>
          <w:tcPr>
            <w:tcW w:w="9782" w:type="dxa"/>
          </w:tcPr>
          <w:p w14:paraId="53CD0F7E" w14:textId="2805A590" w:rsidR="00E05A61" w:rsidRPr="00BA03FF" w:rsidRDefault="00E05A61" w:rsidP="00E23D48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[4.33]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ἐκεῖ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ἔτυχον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ἐξοπλιζόμενοι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πελτασταὶ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πάντες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ὁπλῖται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ἐκ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Πειραιῶς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μὲν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ψιλοὶ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εὐθὺς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ἐκδραμόντες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ἠκόντιζον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ἔβαλλον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ἐτόξευον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ἐσφενδόνων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δὲ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Λακεδαιμόνιοι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ἐπεὶ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αὐτῶν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πολλοὶ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ἐτιτρώσκοντο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μάλα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πιεζόμενοι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ἀνεχώρουν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πόδα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·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δ</w:t>
            </w:r>
            <w:r w:rsidRPr="00BA0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ʼ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τούτῳ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πολὺ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μᾶλλον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ἐπέκειντο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.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ἐνταῦθα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ἀποθνῄσκει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Χαίρων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τε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Θίβραχος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ἄμφω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A51D04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πολεμάρχω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Λακράτης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ὁ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="007626D0"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Ὀλυμπιονίκης</w:t>
            </w:r>
            <w:r w:rsidR="007626D0"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καὶ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ἄλλοι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οἱ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τεθαμμένοι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Λακεδαιμονίων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πρὸ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τῶν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πυλῶν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ἐν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5D36FD">
              <w:rPr>
                <w:rFonts w:ascii="Alkaios" w:eastAsia="Times New Roman" w:hAnsi="Alkaios" w:cs="Times New Roman"/>
                <w:kern w:val="0"/>
                <w:sz w:val="24"/>
                <w:szCs w:val="24"/>
                <w:lang w:val="el-GR" w:eastAsia="de-DE"/>
                <w14:ligatures w14:val="none"/>
              </w:rPr>
              <w:t>Κεραμεικῷ</w:t>
            </w:r>
            <w:r w:rsidRPr="00BA03FF">
              <w:rPr>
                <w:rFonts w:ascii="Alkaios" w:eastAsia="Times New Roman" w:hAnsi="Alkaios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</w:tr>
    </w:tbl>
    <w:p w14:paraId="04DACB13" w14:textId="77777777" w:rsidR="00E05A61" w:rsidRPr="00BA03FF" w:rsidRDefault="00E05A61" w:rsidP="003419E6">
      <w:pPr>
        <w:rPr>
          <w:sz w:val="10"/>
          <w:szCs w:val="10"/>
        </w:rPr>
      </w:pPr>
    </w:p>
    <w:sectPr w:rsidR="00E05A61" w:rsidRPr="00BA03FF" w:rsidSect="003E1DF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42FD0" w14:textId="77777777" w:rsidR="007E613C" w:rsidRDefault="007E613C" w:rsidP="0075445C">
      <w:pPr>
        <w:spacing w:after="0"/>
      </w:pPr>
      <w:r>
        <w:separator/>
      </w:r>
    </w:p>
  </w:endnote>
  <w:endnote w:type="continuationSeparator" w:id="0">
    <w:p w14:paraId="6361EC9E" w14:textId="77777777" w:rsidR="007E613C" w:rsidRDefault="007E613C" w:rsidP="00754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Germa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C7BF0" w14:textId="77777777" w:rsidR="007E613C" w:rsidRDefault="007E613C" w:rsidP="0075445C">
      <w:pPr>
        <w:spacing w:after="0"/>
      </w:pPr>
      <w:r>
        <w:separator/>
      </w:r>
    </w:p>
  </w:footnote>
  <w:footnote w:type="continuationSeparator" w:id="0">
    <w:p w14:paraId="2BE77949" w14:textId="77777777" w:rsidR="007E613C" w:rsidRDefault="007E613C" w:rsidP="0075445C">
      <w:pPr>
        <w:spacing w:after="0"/>
      </w:pPr>
      <w:r>
        <w:continuationSeparator/>
      </w:r>
    </w:p>
  </w:footnote>
  <w:footnote w:id="1">
    <w:p w14:paraId="60CA2285" w14:textId="2D927735" w:rsidR="0028381D" w:rsidRPr="001C2482" w:rsidRDefault="0028381D">
      <w:pPr>
        <w:pStyle w:val="Funotentext"/>
        <w:rPr>
          <w:rFonts w:ascii="Alkaios" w:eastAsia="Times New Roman" w:hAnsi="Alkaios" w:cs="Times New Roman"/>
          <w:kern w:val="0"/>
          <w:lang w:val="el-GR" w:eastAsia="de-DE"/>
          <w14:ligatures w14:val="none"/>
        </w:rPr>
      </w:pPr>
      <w:r>
        <w:rPr>
          <w:rStyle w:val="Funotenzeichen"/>
        </w:rPr>
        <w:footnoteRef/>
      </w:r>
      <w:r w:rsidRPr="0028381D">
        <w:rPr>
          <w:lang w:val="el-GR"/>
        </w:rPr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οὕτω δὲ προχωρούντων</w:t>
      </w:r>
      <w:r w:rsidR="001C2482"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 xml:space="preserve">: </w:t>
      </w:r>
      <w:r w:rsidR="001C2482">
        <w:rPr>
          <w:rFonts w:ascii="Alkaios" w:eastAsia="Times New Roman" w:hAnsi="Alkaios" w:cs="Times New Roman"/>
          <w:kern w:val="0"/>
          <w:lang w:eastAsia="de-DE"/>
          <w14:ligatures w14:val="none"/>
        </w:rPr>
        <w:t>verkürzter GenA,</w:t>
      </w:r>
      <w:r w:rsidR="001C2482"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 xml:space="preserve"> </w:t>
      </w:r>
      <w:r w:rsidR="001C2482">
        <w:rPr>
          <w:rFonts w:ascii="Alkaios" w:eastAsia="Times New Roman" w:hAnsi="Alkaios" w:cs="Times New Roman"/>
          <w:kern w:val="0"/>
          <w:lang w:eastAsia="de-DE"/>
          <w14:ligatures w14:val="none"/>
        </w:rPr>
        <w:t>erg</w:t>
      </w:r>
      <w:r w:rsidR="001C2482"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 xml:space="preserve">. </w:t>
      </w:r>
      <w:r w:rsid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πραγμάτων</w:t>
      </w:r>
      <w:r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 xml:space="preserve"> </w:t>
      </w:r>
    </w:p>
  </w:footnote>
  <w:footnote w:id="2">
    <w:p w14:paraId="3AAEB77C" w14:textId="45C59AD7" w:rsidR="001C2482" w:rsidRPr="001C2482" w:rsidRDefault="001C2482">
      <w:pPr>
        <w:pStyle w:val="Funotentext"/>
        <w:rPr>
          <w:rFonts w:ascii="Alkaios" w:eastAsia="Times New Roman" w:hAnsi="Alkaios" w:cs="Times New Roman"/>
          <w:kern w:val="0"/>
          <w:lang w:eastAsia="de-DE"/>
          <w14:ligatures w14:val="none"/>
        </w:rPr>
      </w:pPr>
      <w:r>
        <w:rPr>
          <w:rStyle w:val="Funotenzeichen"/>
        </w:rPr>
        <w:footnoteRef/>
      </w:r>
      <w:r>
        <w:t xml:space="preserve"> </w:t>
      </w:r>
      <w:r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ἔφοροι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: Als Gegengewicht zu den beiden erblichen </w:t>
      </w:r>
      <w:r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βασιλεῖς</w:t>
      </w:r>
      <w:r w:rsidRPr="001C2482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wählten die Spartaner fünf </w:t>
      </w:r>
      <w:r w:rsidRPr="001C2482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ἔφοροι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>, deren Mehrheitsbeschlüsse auch für die Könige bindend waren.</w:t>
      </w:r>
    </w:p>
  </w:footnote>
  <w:footnote w:id="3">
    <w:p w14:paraId="4CD5FF8B" w14:textId="2EB20922" w:rsidR="0075445C" w:rsidRPr="00383DF7" w:rsidRDefault="0075445C">
      <w:pPr>
        <w:pStyle w:val="Funotentext"/>
      </w:pPr>
      <w:r w:rsidRPr="0028381D">
        <w:rPr>
          <w:rStyle w:val="Funotenzeichen"/>
        </w:rPr>
        <w:footnoteRef/>
      </w:r>
      <w:r w:rsidRPr="0028381D"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ὅτι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οὐ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νομίζοιεν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εὐορκεῖν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ἂν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>: Im Dt. ziehen wir die Verneinung zum abhängigen Inf. „dass sie meinten, Ihren Eid nicht zu halten/ eidbrüchig zu werden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br/>
      </w:r>
      <w:r w:rsidRPr="0028381D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ἂν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>: färbt den Inf.Pr. irreal ein (etwa: dass sie eidbrüchig würden); wird später beheandelt</w:t>
      </w:r>
    </w:p>
  </w:footnote>
  <w:footnote w:id="4">
    <w:p w14:paraId="3C4810EA" w14:textId="0DC857C5" w:rsidR="0028381D" w:rsidRPr="0028381D" w:rsidRDefault="0028381D">
      <w:pPr>
        <w:pStyle w:val="Funotentext"/>
        <w:rPr>
          <w:rFonts w:ascii="Alkaios" w:eastAsia="Times New Roman" w:hAnsi="Alkaios" w:cs="Times New Roman"/>
          <w:kern w:val="0"/>
          <w:lang w:eastAsia="de-DE"/>
          <w14:ligatures w14:val="none"/>
        </w:rPr>
      </w:pPr>
      <w:r w:rsidRPr="0028381D">
        <w:rPr>
          <w:rStyle w:val="Funotenzeichen"/>
        </w:rPr>
        <w:footnoteRef/>
      </w:r>
      <w:r w:rsidRPr="0028381D">
        <w:t xml:space="preserve"> </w:t>
      </w:r>
      <w:r w:rsidRPr="0028381D">
        <w:rPr>
          <w:rFonts w:ascii="Alkaios" w:eastAsia="Times New Roman" w:hAnsi="Alkaios" w:cs="Times New Roman"/>
          <w:kern w:val="0"/>
          <w:lang w:eastAsia="de-DE"/>
          <w14:ligatures w14:val="none"/>
        </w:rPr>
        <w:t>παράσπονδον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>: Zwischen Athen und Korinth gab es einen Friedensvertrag.</w:t>
      </w:r>
    </w:p>
  </w:footnote>
  <w:footnote w:id="5">
    <w:p w14:paraId="4465300D" w14:textId="0147274A" w:rsidR="00716180" w:rsidRPr="00716180" w:rsidRDefault="00716180">
      <w:pPr>
        <w:pStyle w:val="Funotentext"/>
        <w:rPr>
          <w:rFonts w:ascii="Alkaios" w:eastAsia="Times New Roman" w:hAnsi="Alkaios" w:cs="Times New Roman"/>
          <w:kern w:val="0"/>
          <w:lang w:eastAsia="de-DE"/>
          <w14:ligatures w14:val="none"/>
        </w:rPr>
      </w:pPr>
      <w:r>
        <w:rPr>
          <w:rStyle w:val="Funotenzeichen"/>
        </w:rPr>
        <w:footnoteRef/>
      </w:r>
      <w:r>
        <w:t xml:space="preserve"> </w:t>
      </w:r>
      <w:r w:rsidRPr="00716180">
        <w:rPr>
          <w:rFonts w:ascii="Alkaios" w:eastAsia="Times New Roman" w:hAnsi="Alkaios" w:cs="Times New Roman"/>
          <w:kern w:val="0"/>
          <w:lang w:eastAsia="de-DE"/>
          <w14:ligatures w14:val="none"/>
        </w:rPr>
        <w:t>ὅσον ἀπὸ βοῆς ἕνεκεν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>: Pleonasmus</w:t>
      </w:r>
      <w:r w:rsidRPr="00716180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>„auf/in Rufweite“</w:t>
      </w:r>
    </w:p>
  </w:footnote>
  <w:footnote w:id="6">
    <w:p w14:paraId="40B0DF18" w14:textId="09D7A870" w:rsidR="003D6F1E" w:rsidRPr="003D6F1E" w:rsidRDefault="003D6F1E">
      <w:pPr>
        <w:pStyle w:val="Funotentext"/>
        <w:rPr>
          <w:rFonts w:ascii="Alkaios" w:eastAsia="Times New Roman" w:hAnsi="Alkaios" w:cs="Times New Roman"/>
          <w:kern w:val="0"/>
          <w:lang w:eastAsia="de-DE"/>
          <w14:ligatures w14:val="none"/>
        </w:rPr>
      </w:pPr>
      <w:r>
        <w:rPr>
          <w:rStyle w:val="Funotenzeichen"/>
        </w:rPr>
        <w:footnoteRef/>
      </w:r>
      <w:r>
        <w:t xml:space="preserve"> </w:t>
      </w:r>
      <w:r w:rsidRPr="003D6F1E">
        <w:rPr>
          <w:rFonts w:ascii="Alkaios" w:eastAsia="Times New Roman" w:hAnsi="Alkaios" w:cs="Times New Roman"/>
          <w:kern w:val="0"/>
          <w:lang w:eastAsia="de-DE"/>
          <w14:ligatures w14:val="none"/>
        </w:rPr>
        <w:t>τῶν δὲ Ἀθηναίων ἱππέων τρεῖς φυλάς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>: Jede Phyle stellte etwa 30 Reiter; und so wurden dann auch die Einheiten genannt.</w:t>
      </w:r>
    </w:p>
  </w:footnote>
  <w:footnote w:id="7">
    <w:p w14:paraId="6D3B26E6" w14:textId="7799726D" w:rsidR="0034309F" w:rsidRPr="009C5C07" w:rsidRDefault="0034309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09F">
        <w:rPr>
          <w:rFonts w:ascii="Alkaios" w:eastAsia="Times New Roman" w:hAnsi="Alkaios" w:cs="Times New Roman"/>
          <w:kern w:val="0"/>
          <w:lang w:eastAsia="de-DE"/>
          <w14:ligatures w14:val="none"/>
        </w:rPr>
        <w:t>τοὺς τὰ δέκα ἀφ</w:t>
      </w:r>
      <w:r w:rsidRPr="003430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ʼ</w:t>
      </w:r>
      <w:r w:rsidRPr="0034309F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ἥβης</w:t>
      </w:r>
      <w:r w:rsidR="009C5C07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, lies </w:t>
      </w:r>
      <w:r w:rsidR="009C5C07" w:rsidRPr="0034309F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τοὺς τὰ δέκα </w:t>
      </w:r>
      <w:r w:rsidR="009C5C07">
        <w:rPr>
          <w:rFonts w:ascii="Alkaios" w:eastAsia="Times New Roman" w:hAnsi="Alkaios" w:cs="Times New Roman"/>
          <w:kern w:val="0"/>
          <w:lang w:val="el-GR" w:eastAsia="de-DE"/>
          <w14:ligatures w14:val="none"/>
        </w:rPr>
        <w:t>ἔτη</w:t>
      </w:r>
      <w:r w:rsidR="009C5C07" w:rsidRPr="009C5C07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</w:t>
      </w:r>
      <w:r w:rsidR="009C5C07" w:rsidRPr="0034309F">
        <w:rPr>
          <w:rFonts w:ascii="Alkaios" w:eastAsia="Times New Roman" w:hAnsi="Alkaios" w:cs="Times New Roman"/>
          <w:kern w:val="0"/>
          <w:lang w:eastAsia="de-DE"/>
          <w14:ligatures w14:val="none"/>
        </w:rPr>
        <w:t>ἀφ</w:t>
      </w:r>
      <w:r w:rsidR="009C5C07" w:rsidRPr="003430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ʼ</w:t>
      </w:r>
      <w:r w:rsidR="009C5C07" w:rsidRPr="0034309F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ἥβης</w:t>
      </w:r>
      <w:r w:rsidR="009C5C07">
        <w:rPr>
          <w:rFonts w:ascii="Alkaios" w:eastAsia="Times New Roman" w:hAnsi="Alkaios" w:cs="Times New Roman"/>
          <w:kern w:val="0"/>
          <w:lang w:eastAsia="de-DE"/>
          <w14:ligatures w14:val="none"/>
        </w:rPr>
        <w:t>: „diejenigen in Bezug auf die zehn Jahr</w:t>
      </w:r>
      <w:r w:rsidR="002D4BD2">
        <w:rPr>
          <w:rFonts w:ascii="Alkaios" w:eastAsia="Times New Roman" w:hAnsi="Alkaios" w:cs="Times New Roman"/>
          <w:kern w:val="0"/>
          <w:lang w:eastAsia="de-DE"/>
          <w14:ligatures w14:val="none"/>
        </w:rPr>
        <w:t>e</w:t>
      </w:r>
      <w:r w:rsidR="00924048">
        <w:rPr>
          <w:rFonts w:ascii="Alkaios" w:eastAsia="Times New Roman" w:hAnsi="Alkaios" w:cs="Times New Roman"/>
          <w:kern w:val="0"/>
          <w:lang w:eastAsia="de-DE"/>
          <w14:ligatures w14:val="none"/>
        </w:rPr>
        <w:t>/ diejenigen mit den zehn Jahren</w:t>
      </w:r>
      <w:r w:rsidR="009C5C07"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 von der Dienstpflicht an = die zehn jüngsten Jahrgänge“</w:t>
      </w:r>
    </w:p>
  </w:footnote>
  <w:footnote w:id="8">
    <w:p w14:paraId="2060860A" w14:textId="60059D19" w:rsidR="00383DF7" w:rsidRPr="00383DF7" w:rsidRDefault="00383DF7">
      <w:pPr>
        <w:pStyle w:val="Funotentext"/>
        <w:rPr>
          <w:lang w:val="el-GR"/>
        </w:rPr>
      </w:pPr>
      <w:r>
        <w:rPr>
          <w:rStyle w:val="Funotenzeichen"/>
        </w:rPr>
        <w:footnoteRef/>
      </w:r>
      <w:r>
        <w:t xml:space="preserve"> </w:t>
      </w:r>
      <w:r w:rsidRPr="00383DF7">
        <w:rPr>
          <w:rFonts w:ascii="Alkaios" w:eastAsia="Times New Roman" w:hAnsi="Alkaios" w:cs="Times New Roman"/>
          <w:kern w:val="0"/>
          <w:lang w:eastAsia="de-DE"/>
          <w14:ligatures w14:val="none"/>
        </w:rPr>
        <w:t>Πειραιοῖ</w:t>
      </w:r>
      <w:r>
        <w:rPr>
          <w:rFonts w:ascii="Alkaios" w:eastAsia="Times New Roman" w:hAnsi="Alkaios" w:cs="Times New Roman"/>
          <w:kern w:val="0"/>
          <w:lang w:eastAsia="de-DE"/>
          <w14:ligatures w14:val="none"/>
        </w:rPr>
        <w:t xml:space="preserve">: Lokativ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3"/>
    <w:rsid w:val="000D2D89"/>
    <w:rsid w:val="00134489"/>
    <w:rsid w:val="00180256"/>
    <w:rsid w:val="001915BB"/>
    <w:rsid w:val="001C2482"/>
    <w:rsid w:val="001C6B15"/>
    <w:rsid w:val="001D0F14"/>
    <w:rsid w:val="00254981"/>
    <w:rsid w:val="00261ED6"/>
    <w:rsid w:val="0028381D"/>
    <w:rsid w:val="002D4BD2"/>
    <w:rsid w:val="002E0923"/>
    <w:rsid w:val="002F1BCB"/>
    <w:rsid w:val="003419E6"/>
    <w:rsid w:val="0034309F"/>
    <w:rsid w:val="003825CE"/>
    <w:rsid w:val="00383DF7"/>
    <w:rsid w:val="003D6F1E"/>
    <w:rsid w:val="003E1DFB"/>
    <w:rsid w:val="003E58A9"/>
    <w:rsid w:val="00423A3F"/>
    <w:rsid w:val="00496D96"/>
    <w:rsid w:val="005069DE"/>
    <w:rsid w:val="00591320"/>
    <w:rsid w:val="00595860"/>
    <w:rsid w:val="005B58A6"/>
    <w:rsid w:val="005D36FD"/>
    <w:rsid w:val="00642140"/>
    <w:rsid w:val="00663055"/>
    <w:rsid w:val="00670091"/>
    <w:rsid w:val="006C2A85"/>
    <w:rsid w:val="007023EC"/>
    <w:rsid w:val="00716180"/>
    <w:rsid w:val="0075445C"/>
    <w:rsid w:val="007626D0"/>
    <w:rsid w:val="00763112"/>
    <w:rsid w:val="007D1FD4"/>
    <w:rsid w:val="007D4B6E"/>
    <w:rsid w:val="007E613C"/>
    <w:rsid w:val="00821639"/>
    <w:rsid w:val="008271B0"/>
    <w:rsid w:val="00875223"/>
    <w:rsid w:val="00897690"/>
    <w:rsid w:val="008F025B"/>
    <w:rsid w:val="00924048"/>
    <w:rsid w:val="0097628B"/>
    <w:rsid w:val="009C5C07"/>
    <w:rsid w:val="00A001A7"/>
    <w:rsid w:val="00A51D04"/>
    <w:rsid w:val="00A5389C"/>
    <w:rsid w:val="00A91CD8"/>
    <w:rsid w:val="00BA03FF"/>
    <w:rsid w:val="00C35D82"/>
    <w:rsid w:val="00CB7CEA"/>
    <w:rsid w:val="00CE4867"/>
    <w:rsid w:val="00D16A6A"/>
    <w:rsid w:val="00E05A61"/>
    <w:rsid w:val="00E56CE9"/>
    <w:rsid w:val="00E867BA"/>
    <w:rsid w:val="00E96A96"/>
    <w:rsid w:val="00F04085"/>
    <w:rsid w:val="00F6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24DA"/>
  <w15:chartTrackingRefBased/>
  <w15:docId w15:val="{901EC551-33CE-4EA9-8BDE-B00E69EE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A61"/>
  </w:style>
  <w:style w:type="paragraph" w:styleId="berschrift1">
    <w:name w:val="heading 1"/>
    <w:basedOn w:val="Standard"/>
    <w:next w:val="Standard"/>
    <w:link w:val="berschrift1Zchn"/>
    <w:uiPriority w:val="9"/>
    <w:qFormat/>
    <w:rsid w:val="0087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52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52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52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52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52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5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5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5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5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52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52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52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52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522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05A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B7CE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7C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7CEA"/>
    <w:rPr>
      <w:color w:val="96607D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5445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5445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4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rstes Element und Datum" Version="1987"/>
</file>

<file path=customXml/itemProps1.xml><?xml version="1.0" encoding="utf-8"?>
<ds:datastoreItem xmlns:ds="http://schemas.openxmlformats.org/officeDocument/2006/customXml" ds:itemID="{3B3B0460-57F9-4D7A-BE33-02D117C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Holtiegel</dc:creator>
  <cp:keywords/>
  <dc:description/>
  <cp:lastModifiedBy>Herr Holtiegel</cp:lastModifiedBy>
  <cp:revision>21</cp:revision>
  <dcterms:created xsi:type="dcterms:W3CDTF">2024-04-14T06:55:00Z</dcterms:created>
  <dcterms:modified xsi:type="dcterms:W3CDTF">2024-05-13T13:59:00Z</dcterms:modified>
</cp:coreProperties>
</file>