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69EB" w14:textId="4B90B399" w:rsidR="001A7D94" w:rsidRPr="001A7D94" w:rsidRDefault="001A7D94" w:rsidP="001A7D94">
      <w:pPr>
        <w:jc w:val="center"/>
        <w:rPr>
          <w:sz w:val="40"/>
          <w:szCs w:val="40"/>
        </w:rPr>
      </w:pPr>
      <w:r w:rsidRPr="001A7D94">
        <w:rPr>
          <w:sz w:val="40"/>
          <w:szCs w:val="40"/>
        </w:rPr>
        <w:t>pDem9.2</w:t>
      </w:r>
      <w:r w:rsidR="0010669A">
        <w:rPr>
          <w:sz w:val="40"/>
          <w:szCs w:val="40"/>
        </w:rPr>
        <w:t>0</w:t>
      </w:r>
      <w:r w:rsidRPr="001A7D94">
        <w:rPr>
          <w:sz w:val="40"/>
          <w:szCs w:val="40"/>
        </w:rPr>
        <w:t>-30 Text</w:t>
      </w:r>
    </w:p>
    <w:tbl>
      <w:tblPr>
        <w:tblStyle w:val="Tabellenraster"/>
        <w:tblW w:w="15730" w:type="dxa"/>
        <w:tblLook w:val="04A0" w:firstRow="1" w:lastRow="0" w:firstColumn="1" w:lastColumn="0" w:noHBand="0" w:noVBand="1"/>
      </w:tblPr>
      <w:tblGrid>
        <w:gridCol w:w="7225"/>
        <w:gridCol w:w="8505"/>
      </w:tblGrid>
      <w:tr w:rsidR="0010669A" w:rsidRPr="0010669A" w14:paraId="00BBBCC9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2560F23D" w14:textId="77777777" w:rsidR="0010669A" w:rsidRPr="00D13AA5" w:rsidRDefault="0010669A" w:rsidP="0010669A">
            <w:pPr>
              <w:rPr>
                <w:lang w:val="el-GR"/>
              </w:rPr>
            </w:pPr>
            <w:r w:rsidRPr="0029681F">
              <w:rPr>
                <w:sz w:val="17"/>
                <w:szCs w:val="17"/>
                <w:lang w:val="el-GR"/>
              </w:rPr>
              <w:t>[20]</w:t>
            </w:r>
            <w:r w:rsidRPr="0029681F">
              <w:rPr>
                <w:lang w:val="el-GR"/>
              </w:rPr>
              <w:t xml:space="preserve"> καὶ διατηρῆσαι μή τι πάθωσι, </w:t>
            </w:r>
          </w:p>
          <w:p w14:paraId="1339C8FB" w14:textId="77777777" w:rsidR="0010669A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καὶ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τοῖς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οὖσιν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ἐκεῖ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νῦν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στρατιώταις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πάνθ᾽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ὅσων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ἂν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δέωνται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ἀποστεῖλαι</w:t>
            </w:r>
            <w:r w:rsidRPr="00D13AA5">
              <w:rPr>
                <w:lang w:val="el-GR"/>
              </w:rPr>
              <w:t xml:space="preserve">, </w:t>
            </w:r>
          </w:p>
          <w:p w14:paraId="2AE00F37" w14:textId="77777777" w:rsidR="0010669A" w:rsidRPr="0010669A" w:rsidRDefault="0010669A" w:rsidP="0010669A">
            <w:pPr>
              <w:rPr>
                <w:lang w:val="el-GR"/>
              </w:rPr>
            </w:pPr>
            <w:r w:rsidRPr="0010669A">
              <w:rPr>
                <w:lang w:val="el-GR"/>
              </w:rPr>
              <w:t>βουλεύεσθαι μέντοι</w:t>
            </w:r>
            <w:r w:rsidRPr="0010669A">
              <w:rPr>
                <w:rStyle w:val="Funotenzeichen"/>
                <w:lang w:val="el-GR"/>
              </w:rPr>
              <w:footnoteReference w:id="1"/>
            </w:r>
            <w:r w:rsidRPr="0010669A">
              <w:rPr>
                <w:lang w:val="el-GR"/>
              </w:rPr>
              <w:t xml:space="preserve"> περὶ πάντων τῶν Ἑλλήνων </w:t>
            </w:r>
          </w:p>
          <w:p w14:paraId="70B47623" w14:textId="77777777" w:rsidR="0010669A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ὡς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ἐν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κινδύνῳ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μεγάλῳ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καθεστώτων</w:t>
            </w:r>
            <w:r w:rsidRPr="00D13AA5">
              <w:rPr>
                <w:lang w:val="el-GR"/>
              </w:rPr>
              <w:t xml:space="preserve">. </w:t>
            </w:r>
          </w:p>
          <w:p w14:paraId="56250FA7" w14:textId="77777777" w:rsidR="0010669A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βούλομαι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δ᾽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εἰπεῖν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πρὸς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ὑμᾶς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ἐξ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ὧν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ὑπὲρ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τῶν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πραγμάτων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οὕτω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φοβοῦμαι</w:t>
            </w:r>
            <w:r w:rsidRPr="00D13AA5">
              <w:rPr>
                <w:lang w:val="el-GR"/>
              </w:rPr>
              <w:t xml:space="preserve">, </w:t>
            </w:r>
          </w:p>
          <w:p w14:paraId="66D66C15" w14:textId="77777777" w:rsidR="0010669A" w:rsidRPr="00D13AA5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ἵν᾽</w:t>
            </w:r>
            <w:r w:rsidRPr="00D13AA5">
              <w:rPr>
                <w:lang w:val="el-GR"/>
              </w:rPr>
              <w:t xml:space="preserve">, </w:t>
            </w:r>
            <w:r w:rsidRPr="0029681F">
              <w:rPr>
                <w:lang w:val="el-GR"/>
              </w:rPr>
              <w:t>εἰ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μὲν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ὀρθῶς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λογίζομαι</w:t>
            </w:r>
            <w:r w:rsidRPr="00D13AA5">
              <w:rPr>
                <w:lang w:val="el-GR"/>
              </w:rPr>
              <w:t xml:space="preserve">, </w:t>
            </w:r>
            <w:r w:rsidRPr="0029681F">
              <w:rPr>
                <w:lang w:val="el-GR"/>
              </w:rPr>
              <w:t>μετάσχητε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τῶν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λογισμῶν</w:t>
            </w:r>
            <w:r w:rsidRPr="00D13AA5">
              <w:rPr>
                <w:lang w:val="el-GR"/>
              </w:rPr>
              <w:t xml:space="preserve"> </w:t>
            </w:r>
          </w:p>
          <w:p w14:paraId="4AFD497B" w14:textId="77777777" w:rsidR="0010669A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καὶ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πρόνοιάν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τιν᾽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ὑμῶν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γ᾽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αὐτῶν</w:t>
            </w:r>
            <w:r w:rsidRPr="00D13AA5">
              <w:rPr>
                <w:lang w:val="el-GR"/>
              </w:rPr>
              <w:t xml:space="preserve">, </w:t>
            </w:r>
          </w:p>
          <w:p w14:paraId="71F8C414" w14:textId="77777777" w:rsidR="0010669A" w:rsidRPr="00D13AA5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εἰ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μὴ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καὶ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τῶν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ἄλλων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ἄρα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βούλεσθε</w:t>
            </w:r>
            <w:r w:rsidRPr="00D13AA5">
              <w:rPr>
                <w:lang w:val="el-GR"/>
              </w:rPr>
              <w:t xml:space="preserve">, </w:t>
            </w:r>
            <w:r w:rsidRPr="0029681F">
              <w:rPr>
                <w:lang w:val="el-GR"/>
              </w:rPr>
              <w:t>ποιήσησθε</w:t>
            </w:r>
            <w:r w:rsidRPr="00D13AA5">
              <w:rPr>
                <w:lang w:val="el-GR"/>
              </w:rPr>
              <w:t xml:space="preserve">, </w:t>
            </w:r>
          </w:p>
          <w:p w14:paraId="6F872FA5" w14:textId="77777777" w:rsidR="0010669A" w:rsidRPr="00D13AA5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ἂν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δὲ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ληρεῖν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καὶ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τετυφῶσθαι</w:t>
            </w:r>
            <w:r w:rsidRPr="00D13AA5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δοκῶ</w:t>
            </w:r>
            <w:r w:rsidRPr="00D13AA5">
              <w:rPr>
                <w:lang w:val="el-GR"/>
              </w:rPr>
              <w:t xml:space="preserve">, </w:t>
            </w:r>
          </w:p>
          <w:p w14:paraId="5C622972" w14:textId="303BBADD" w:rsidR="0010669A" w:rsidRPr="0010669A" w:rsidRDefault="0010669A" w:rsidP="0010669A">
            <w:pPr>
              <w:rPr>
                <w:lang w:val="el-GR"/>
              </w:rPr>
            </w:pPr>
            <w:r w:rsidRPr="0029681F">
              <w:rPr>
                <w:lang w:val="el-GR"/>
              </w:rPr>
              <w:t>μήτε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νῦν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μήτ᾽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αὖθις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ὡς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ὑγιαίνοντί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μοι</w:t>
            </w:r>
            <w:r w:rsidRPr="00C94547">
              <w:rPr>
                <w:lang w:val="el-GR"/>
              </w:rPr>
              <w:t xml:space="preserve"> </w:t>
            </w:r>
            <w:r w:rsidRPr="0029681F">
              <w:rPr>
                <w:lang w:val="el-GR"/>
              </w:rPr>
              <w:t>προσέχητε</w:t>
            </w:r>
            <w:r>
              <w:rPr>
                <w:rStyle w:val="Funotenzeichen"/>
                <w:lang w:val="el-GR"/>
              </w:rPr>
              <w:footnoteReference w:id="2"/>
            </w:r>
            <w:r w:rsidRPr="00C94547">
              <w:rPr>
                <w:lang w:val="el-GR"/>
              </w:rPr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3CDCE14B" w14:textId="77777777" w:rsidR="0010669A" w:rsidRPr="0010669A" w:rsidRDefault="0010669A" w:rsidP="0010669A">
            <w:pPr>
              <w:ind w:right="-108"/>
              <w:rPr>
                <w:rFonts w:cstheme="minorHAnsi"/>
                <w:lang w:val="el-GR"/>
              </w:rPr>
            </w:pPr>
          </w:p>
        </w:tc>
      </w:tr>
      <w:tr w:rsidR="0010669A" w:rsidRPr="00E1377D" w14:paraId="15DED17D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19F1C5AC" w14:textId="23B121ED" w:rsidR="0010669A" w:rsidRPr="001A7D94" w:rsidRDefault="0010669A" w:rsidP="0010669A">
            <w:pPr>
              <w:rPr>
                <w:sz w:val="17"/>
                <w:szCs w:val="17"/>
              </w:rPr>
            </w:pPr>
            <w:r w:rsidRPr="0010669A">
              <w:rPr>
                <w:lang w:val="el-GR"/>
              </w:rPr>
              <w:br w:type="page"/>
            </w:r>
            <w:r w:rsidRPr="001A7D94">
              <w:rPr>
                <w:sz w:val="17"/>
                <w:szCs w:val="17"/>
              </w:rPr>
              <w:t>[21]</w:t>
            </w:r>
            <w:r w:rsidRPr="001A7D94">
              <w:t xml:space="preserve"> </w:t>
            </w:r>
            <w:r w:rsidRPr="0029681F">
              <w:rPr>
                <w:lang w:val="el-GR"/>
              </w:rPr>
              <w:t>ὅτι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μὲν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δὴ</w:t>
            </w:r>
            <w:r w:rsidRPr="001A7D94">
              <w:t xml:space="preserve"> </w:t>
            </w:r>
            <w:r w:rsidRPr="0029681F">
              <w:rPr>
                <w:lang w:val="el-GR"/>
              </w:rPr>
              <w:t>μέγας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ἐκ</w:t>
            </w:r>
            <w:r w:rsidRPr="001A7D94">
              <w:t xml:space="preserve"> </w:t>
            </w:r>
            <w:r w:rsidRPr="0029681F">
              <w:rPr>
                <w:lang w:val="el-GR"/>
              </w:rPr>
              <w:t>μικροῦ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ταπεινοῦ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τὸ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ἀρχὰς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Φίλιππος</w:t>
            </w:r>
            <w:r w:rsidRPr="001A7D94">
              <w:t xml:space="preserve"> </w:t>
            </w:r>
            <w:r w:rsidRPr="0029681F">
              <w:rPr>
                <w:lang w:val="el-GR"/>
              </w:rPr>
              <w:t>ηὔξηται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ἀπίστως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στασιαστικῶς</w:t>
            </w:r>
            <w:r w:rsidRPr="001A7D94">
              <w:t xml:space="preserve"> </w:t>
            </w:r>
            <w:r w:rsidRPr="0029681F">
              <w:rPr>
                <w:lang w:val="el-GR"/>
              </w:rPr>
              <w:t>ἔχουσι</w:t>
            </w:r>
            <w:r w:rsidRPr="001A7D94">
              <w:t xml:space="preserve"> </w:t>
            </w:r>
            <w:r w:rsidRPr="0029681F">
              <w:rPr>
                <w:lang w:val="el-GR"/>
              </w:rPr>
              <w:t>πρὸς</w:t>
            </w:r>
            <w:r w:rsidRPr="001A7D94">
              <w:t xml:space="preserve"> </w:t>
            </w:r>
            <w:r w:rsidRPr="0029681F">
              <w:rPr>
                <w:lang w:val="el-GR"/>
              </w:rPr>
              <w:t>αὑτοὺς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Ἕλληνες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ὅτι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πολλῷ</w:t>
            </w:r>
            <w:r w:rsidRPr="001A7D94">
              <w:t xml:space="preserve"> </w:t>
            </w:r>
            <w:r w:rsidRPr="0029681F">
              <w:rPr>
                <w:lang w:val="el-GR"/>
              </w:rPr>
              <w:t>παραδοξότερον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ἦν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τοσοῦτον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αὐτὸν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ἐξ</w:t>
            </w:r>
            <w:r w:rsidRPr="001A7D94">
              <w:t xml:space="preserve"> </w:t>
            </w:r>
            <w:r w:rsidRPr="0029681F">
              <w:rPr>
                <w:lang w:val="el-GR"/>
              </w:rPr>
              <w:t>ἐκείνου</w:t>
            </w:r>
            <w:r w:rsidRPr="001A7D94">
              <w:t xml:space="preserve"> </w:t>
            </w:r>
            <w:r w:rsidRPr="0029681F">
              <w:rPr>
                <w:lang w:val="el-GR"/>
              </w:rPr>
              <w:t>γενέσθαι</w:t>
            </w:r>
            <w:r w:rsidRPr="001A7D94">
              <w:t xml:space="preserve"> </w:t>
            </w:r>
            <w:r w:rsidRPr="0029681F">
              <w:rPr>
                <w:lang w:val="el-GR"/>
              </w:rPr>
              <w:t>ἢ</w:t>
            </w:r>
            <w:r w:rsidRPr="001A7D94">
              <w:t xml:space="preserve"> </w:t>
            </w:r>
            <w:r w:rsidRPr="0029681F">
              <w:rPr>
                <w:lang w:val="el-GR"/>
              </w:rPr>
              <w:t>νῦν</w:t>
            </w:r>
            <w:r>
              <w:rPr>
                <w:rStyle w:val="Funotenzeichen"/>
                <w:lang w:val="el-GR"/>
              </w:rPr>
              <w:footnoteReference w:id="3"/>
            </w:r>
            <w:r w:rsidRPr="001A7D94">
              <w:t xml:space="preserve">, </w:t>
            </w:r>
            <w:r w:rsidRPr="0029681F">
              <w:rPr>
                <w:lang w:val="el-GR"/>
              </w:rPr>
              <w:t>ὅθ᾽</w:t>
            </w:r>
            <w:r>
              <w:rPr>
                <w:rStyle w:val="Funotenzeichen"/>
                <w:lang w:val="el-GR"/>
              </w:rPr>
              <w:footnoteReference w:id="4"/>
            </w:r>
            <w:r w:rsidRPr="001A7D94">
              <w:t xml:space="preserve"> </w:t>
            </w:r>
            <w:r w:rsidRPr="0029681F">
              <w:rPr>
                <w:lang w:val="el-GR"/>
              </w:rPr>
              <w:t>οὕτω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πολλὰ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προείληφε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λοιπὰ</w:t>
            </w:r>
            <w:r w:rsidRPr="001A7D94">
              <w:t xml:space="preserve"> </w:t>
            </w:r>
            <w:r w:rsidRPr="0029681F">
              <w:rPr>
                <w:lang w:val="el-GR"/>
              </w:rPr>
              <w:t>ὑφ᾽</w:t>
            </w:r>
            <w:r w:rsidRPr="001A7D94">
              <w:t xml:space="preserve"> </w:t>
            </w:r>
            <w:r w:rsidRPr="0029681F">
              <w:rPr>
                <w:lang w:val="el-GR"/>
              </w:rPr>
              <w:t>αὑτῷ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ποιήσασθαι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πάνθ᾽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ὅσα</w:t>
            </w:r>
            <w:r w:rsidRPr="001A7D94">
              <w:t xml:space="preserve"> </w:t>
            </w:r>
            <w:r w:rsidRPr="0029681F">
              <w:rPr>
                <w:lang w:val="el-GR"/>
              </w:rPr>
              <w:t>τοιαῦτ᾽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ἂν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ἔχοιμι</w:t>
            </w:r>
            <w:r w:rsidRPr="001A7D94">
              <w:t xml:space="preserve"> </w:t>
            </w:r>
            <w:r w:rsidRPr="0029681F">
              <w:rPr>
                <w:lang w:val="el-GR"/>
              </w:rPr>
              <w:t>διεξελθεῖν</w:t>
            </w:r>
            <w:r w:rsidRPr="001A7D94">
              <w:t xml:space="preserve">, </w:t>
            </w:r>
            <w:r w:rsidRPr="0029681F">
              <w:rPr>
                <w:lang w:val="el-GR"/>
              </w:rPr>
              <w:t>παραλείψω</w:t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1D851762" w14:textId="24EB9D4D" w:rsidR="0010669A" w:rsidRPr="00E1377D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E1377D" w14:paraId="56E9041F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10BCC401" w14:textId="7E187380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[22]</w:t>
            </w:r>
            <w:r w:rsidRPr="001A7D94">
              <w:t xml:space="preserve"> </w:t>
            </w:r>
            <w:r w:rsidRPr="0029681F">
              <w:rPr>
                <w:lang w:val="el-GR"/>
              </w:rPr>
              <w:t>ἀλλ᾽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ὁρῶ</w:t>
            </w:r>
            <w:r w:rsidRPr="001A7D94">
              <w:t xml:space="preserve"> </w:t>
            </w:r>
            <w:r w:rsidRPr="0029681F">
              <w:rPr>
                <w:lang w:val="el-GR"/>
              </w:rPr>
              <w:t>συγκεχωρηκότας</w:t>
            </w:r>
            <w:r w:rsidRPr="001A7D94">
              <w:t xml:space="preserve"> </w:t>
            </w:r>
            <w:r w:rsidRPr="0029681F">
              <w:rPr>
                <w:lang w:val="el-GR"/>
              </w:rPr>
              <w:t>ἅπαντας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ἀνθρώπους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ἀφ᾽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ὑμῶν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ἀρξαμένους</w:t>
            </w:r>
            <w:r w:rsidRPr="001A7D94">
              <w:t xml:space="preserve">, </w:t>
            </w:r>
            <w:r w:rsidRPr="0029681F">
              <w:rPr>
                <w:lang w:val="el-GR"/>
              </w:rPr>
              <w:t>αὐτῷ</w:t>
            </w:r>
            <w:r>
              <w:rPr>
                <w:rStyle w:val="Funotenzeichen"/>
                <w:lang w:val="el-GR"/>
              </w:rPr>
              <w:footnoteReference w:id="5"/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ὑπὲρ</w:t>
            </w:r>
            <w:r w:rsidRPr="001A7D94">
              <w:t xml:space="preserve"> </w:t>
            </w:r>
            <w:r w:rsidRPr="0029681F">
              <w:rPr>
                <w:lang w:val="el-GR"/>
              </w:rPr>
              <w:t>οὗ</w:t>
            </w:r>
            <w:r>
              <w:rPr>
                <w:rStyle w:val="Funotenzeichen"/>
                <w:lang w:val="el-GR"/>
              </w:rPr>
              <w:footnoteReference w:id="6"/>
            </w:r>
            <w:r w:rsidRPr="001A7D94">
              <w:t xml:space="preserve"> </w:t>
            </w:r>
            <w:r w:rsidRPr="0029681F">
              <w:rPr>
                <w:lang w:val="el-GR"/>
              </w:rPr>
              <w:t>τὸν</w:t>
            </w:r>
            <w:r w:rsidRPr="001A7D94">
              <w:t xml:space="preserve"> </w:t>
            </w:r>
            <w:r w:rsidRPr="0029681F">
              <w:rPr>
                <w:lang w:val="el-GR"/>
              </w:rPr>
              <w:t>ἄλλον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ἅπαντα</w:t>
            </w:r>
            <w:r w:rsidRPr="001A7D94">
              <w:t xml:space="preserve"> </w:t>
            </w:r>
            <w:r w:rsidRPr="0029681F">
              <w:rPr>
                <w:lang w:val="el-GR"/>
              </w:rPr>
              <w:t>χρόνον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πάντες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πόλεμοι</w:t>
            </w:r>
            <w:r w:rsidRPr="001A7D94">
              <w:t xml:space="preserve"> </w:t>
            </w:r>
            <w:r w:rsidRPr="0029681F">
              <w:rPr>
                <w:lang w:val="el-GR"/>
              </w:rPr>
              <w:t>γεγόνασιν</w:t>
            </w:r>
            <w:r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Ἑλληνικοί</w:t>
            </w:r>
            <w:r w:rsidRPr="001A7D94">
              <w:t>.</w:t>
            </w:r>
            <w:r>
              <w:t xml:space="preserve"> </w:t>
            </w:r>
            <w:r w:rsidRPr="0029681F">
              <w:rPr>
                <w:lang w:val="el-GR"/>
              </w:rPr>
              <w:t>τί</w:t>
            </w:r>
            <w:r w:rsidRPr="001A7D94">
              <w:t xml:space="preserve"> </w:t>
            </w:r>
            <w:r w:rsidRPr="0029681F">
              <w:rPr>
                <w:lang w:val="el-GR"/>
              </w:rPr>
              <w:t>οὖν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ἐστι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τοῦτο</w:t>
            </w:r>
            <w:r w:rsidRPr="001A7D94">
              <w:t xml:space="preserve">; </w:t>
            </w:r>
            <w:r w:rsidRPr="0029681F">
              <w:rPr>
                <w:lang w:val="el-GR"/>
              </w:rPr>
              <w:t>τὸ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ποιεῖν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ὅ</w:t>
            </w:r>
            <w:r w:rsidRPr="001A7D94">
              <w:t xml:space="preserve"> </w:t>
            </w:r>
            <w:r w:rsidRPr="0029681F">
              <w:rPr>
                <w:lang w:val="el-GR"/>
              </w:rPr>
              <w:t>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βούλεται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καθ᾽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ἕν᾽</w:t>
            </w:r>
            <w:r>
              <w:rPr>
                <w:rStyle w:val="Funotenzeichen"/>
                <w:lang w:val="el-GR"/>
              </w:rPr>
              <w:footnoteReference w:id="7"/>
            </w:r>
            <w:r w:rsidRPr="001A7D94">
              <w:t xml:space="preserve"> </w:t>
            </w:r>
            <w:r w:rsidRPr="0029681F">
              <w:rPr>
                <w:lang w:val="el-GR"/>
              </w:rPr>
              <w:t>οὑτωσὶ</w:t>
            </w:r>
            <w:r w:rsidRPr="001A7D94">
              <w:t xml:space="preserve"> </w:t>
            </w:r>
            <w:r w:rsidRPr="0029681F">
              <w:rPr>
                <w:lang w:val="el-GR"/>
              </w:rPr>
              <w:t>περικόπτειν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λωποδυτεῖν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Ἑλλήνων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καταδουλοῦσθαι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ἐπιόντα</w:t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27252429" w14:textId="652993E6" w:rsidR="0010669A" w:rsidRPr="00E1377D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E1377D" w14:paraId="461DD5B6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67B359C4" w14:textId="325D902D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[23]</w:t>
            </w:r>
            <w:r w:rsidRPr="001A7D94">
              <w:t xml:space="preserve"> </w:t>
            </w:r>
            <w:r w:rsidRPr="0029681F">
              <w:rPr>
                <w:lang w:val="el-GR"/>
              </w:rPr>
              <w:t>καίτοι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προστάται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μὲν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ὑμεῖς</w:t>
            </w:r>
            <w:r w:rsidRPr="001A7D94">
              <w:t xml:space="preserve"> </w:t>
            </w:r>
            <w:r w:rsidRPr="0029681F">
              <w:rPr>
                <w:lang w:val="el-GR"/>
              </w:rPr>
              <w:t>ἑβδομήκοντ᾽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ἔτη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τρία</w:t>
            </w:r>
            <w:r>
              <w:rPr>
                <w:rStyle w:val="Funotenzeichen"/>
                <w:lang w:val="el-GR"/>
              </w:rPr>
              <w:footnoteReference w:id="8"/>
            </w:r>
            <w:r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Ἑλλήνων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ἐγένεσθε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προστάται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τριάκονθ᾽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ἑνὸς</w:t>
            </w:r>
            <w:r w:rsidRPr="001A7D94">
              <w:t xml:space="preserve"> </w:t>
            </w:r>
            <w:r w:rsidRPr="0029681F">
              <w:rPr>
                <w:lang w:val="el-GR"/>
              </w:rPr>
              <w:t>δέοντα</w:t>
            </w:r>
            <w:r>
              <w:rPr>
                <w:rStyle w:val="Funotenzeichen"/>
                <w:lang w:val="el-GR"/>
              </w:rPr>
              <w:footnoteReference w:id="9"/>
            </w:r>
            <w:r w:rsidRPr="001A7D94">
              <w:t xml:space="preserve"> </w:t>
            </w:r>
            <w:r w:rsidRPr="0029681F">
              <w:rPr>
                <w:lang w:val="el-GR"/>
              </w:rPr>
              <w:t>Λακεδαιμόνιοι</w:t>
            </w:r>
            <w:r>
              <w:rPr>
                <w:lang w:val="el-GR"/>
              </w:rPr>
              <w:t>·</w:t>
            </w:r>
            <w:r>
              <w:t xml:space="preserve"> </w:t>
            </w:r>
            <w:r w:rsidRPr="0029681F">
              <w:rPr>
                <w:lang w:val="el-GR"/>
              </w:rPr>
              <w:t>ἴσχυσαν</w:t>
            </w:r>
            <w:r w:rsidRPr="001A7D94">
              <w:t xml:space="preserve"> </w:t>
            </w:r>
            <w:r w:rsidRPr="0029681F">
              <w:rPr>
                <w:lang w:val="el-GR"/>
              </w:rPr>
              <w:t>δέ</w:t>
            </w:r>
            <w:r w:rsidRPr="001A7D94">
              <w:t xml:space="preserve"> </w:t>
            </w:r>
            <w:r w:rsidRPr="0029681F">
              <w:rPr>
                <w:lang w:val="el-GR"/>
              </w:rPr>
              <w:t>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Θηβαῖοι</w:t>
            </w:r>
            <w:r>
              <w:t xml:space="preserve"> </w:t>
            </w:r>
            <w:r w:rsidRPr="0029681F">
              <w:rPr>
                <w:lang w:val="el-GR"/>
              </w:rPr>
              <w:t>τουτουσὶ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τοὺς</w:t>
            </w:r>
            <w:r w:rsidRPr="001A7D94">
              <w:t xml:space="preserve"> </w:t>
            </w:r>
            <w:r w:rsidRPr="0029681F">
              <w:rPr>
                <w:lang w:val="el-GR"/>
              </w:rPr>
              <w:t>τελευταίους</w:t>
            </w:r>
            <w:r w:rsidRPr="001A7D94">
              <w:t xml:space="preserve"> </w:t>
            </w:r>
            <w:r w:rsidRPr="0029681F">
              <w:rPr>
                <w:lang w:val="el-GR"/>
              </w:rPr>
              <w:t>χρόνους</w:t>
            </w:r>
            <w:r>
              <w:rPr>
                <w:rStyle w:val="Funotenzeichen"/>
                <w:lang w:val="el-GR"/>
              </w:rPr>
              <w:footnoteReference w:id="10"/>
            </w:r>
            <w:r w:rsidRPr="001A7D94">
              <w:t xml:space="preserve"> </w:t>
            </w:r>
            <w:r w:rsidRPr="0029681F">
              <w:rPr>
                <w:lang w:val="el-GR"/>
              </w:rPr>
              <w:t>μετὰ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τὴν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Λεύκτροις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μάχην</w:t>
            </w:r>
            <w:r>
              <w:rPr>
                <w:rStyle w:val="Funotenzeichen"/>
                <w:lang w:val="el-GR"/>
              </w:rPr>
              <w:footnoteReference w:id="11"/>
            </w:r>
            <w:r w:rsidRPr="001A7D94">
              <w:t>.</w:t>
            </w:r>
            <w:r>
              <w:t xml:space="preserve"> </w:t>
            </w:r>
            <w:r w:rsidRPr="0029681F">
              <w:rPr>
                <w:lang w:val="el-GR"/>
              </w:rPr>
              <w:t>ἀλλ᾽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ὅμως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οὔθ᾽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ὑμῖν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οὔτε</w:t>
            </w:r>
            <w:r w:rsidRPr="001A7D94">
              <w:t xml:space="preserve"> </w:t>
            </w:r>
            <w:r w:rsidRPr="0029681F">
              <w:rPr>
                <w:lang w:val="el-GR"/>
              </w:rPr>
              <w:t>Θηβαίοις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οὔτε</w:t>
            </w:r>
            <w:r w:rsidRPr="001A7D94">
              <w:t xml:space="preserve"> </w:t>
            </w:r>
            <w:r w:rsidRPr="0029681F">
              <w:rPr>
                <w:lang w:val="el-GR"/>
              </w:rPr>
              <w:t>Λακεδαιμονίοις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οὐδεπώποτ᾽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lastRenderedPageBreak/>
              <w:t>ὦ</w:t>
            </w:r>
            <w:r w:rsidRPr="001A7D94">
              <w:t xml:space="preserve"> </w:t>
            </w:r>
            <w:r w:rsidRPr="0029681F">
              <w:rPr>
                <w:lang w:val="el-GR"/>
              </w:rPr>
              <w:t>ἄνδρες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Ἀθηναῖοι</w:t>
            </w:r>
            <w:r w:rsidRPr="001A7D94">
              <w:t xml:space="preserve">, </w:t>
            </w:r>
            <w:r w:rsidRPr="0029681F">
              <w:rPr>
                <w:lang w:val="el-GR"/>
              </w:rPr>
              <w:t>συνεχωρήθη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ὑπὸ</w:t>
            </w:r>
            <w:r w:rsidRPr="001A7D94"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Ἑλλήνων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ποιεῖν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ὅ</w:t>
            </w:r>
            <w:r w:rsidRPr="001A7D94">
              <w:t xml:space="preserve"> </w:t>
            </w:r>
            <w:r w:rsidRPr="0029681F">
              <w:rPr>
                <w:lang w:val="el-GR"/>
              </w:rPr>
              <w:t>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βούλοισθε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πολλοῦ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δεῖ</w:t>
            </w:r>
            <w:r>
              <w:rPr>
                <w:lang w:val="el-GR"/>
              </w:rPr>
              <w:t>·</w:t>
            </w:r>
            <w:r w:rsidRPr="001A7D94">
              <w:t xml:space="preserve">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682A9EE0" w14:textId="071BD52C" w:rsidR="0010669A" w:rsidRPr="00E1377D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E1377D" w14:paraId="0B0351C8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48BAC654" w14:textId="74DC3EA4" w:rsidR="0010669A" w:rsidRPr="001A7D94" w:rsidRDefault="0010669A" w:rsidP="0010669A">
            <w:pPr>
              <w:rPr>
                <w:sz w:val="17"/>
                <w:szCs w:val="17"/>
              </w:rPr>
            </w:pPr>
            <w:r w:rsidRPr="00C413C7">
              <w:rPr>
                <w:sz w:val="17"/>
                <w:szCs w:val="17"/>
              </w:rPr>
              <w:t>[24]</w:t>
            </w:r>
            <w:r w:rsidRPr="00C413C7">
              <w:t xml:space="preserve"> </w:t>
            </w:r>
            <w:r w:rsidRPr="0029681F">
              <w:rPr>
                <w:lang w:val="el-GR"/>
              </w:rPr>
              <w:t>ἀλλὰ</w:t>
            </w:r>
            <w:r w:rsidRPr="00C413C7">
              <w:t xml:space="preserve"> </w:t>
            </w:r>
            <w:r w:rsidRPr="0029681F">
              <w:rPr>
                <w:lang w:val="el-GR"/>
              </w:rPr>
              <w:t>τοῦτο</w:t>
            </w:r>
            <w:r w:rsidRPr="00C413C7">
              <w:t xml:space="preserve"> </w:t>
            </w:r>
            <w:r w:rsidRPr="0029681F">
              <w:rPr>
                <w:lang w:val="el-GR"/>
              </w:rPr>
              <w:t>μὲν</w:t>
            </w:r>
            <w:r>
              <w:rPr>
                <w:rStyle w:val="Funotenzeichen"/>
                <w:lang w:val="el-GR"/>
              </w:rPr>
              <w:footnoteReference w:id="12"/>
            </w:r>
            <w:r w:rsidRPr="00C413C7">
              <w:t xml:space="preserve"> </w:t>
            </w:r>
            <w:r w:rsidRPr="0029681F">
              <w:rPr>
                <w:lang w:val="el-GR"/>
              </w:rPr>
              <w:t>ὑμῖν</w:t>
            </w:r>
            <w:r w:rsidRPr="00C413C7">
              <w:t xml:space="preserve">, </w:t>
            </w:r>
            <w:r w:rsidRPr="0029681F">
              <w:rPr>
                <w:lang w:val="el-GR"/>
              </w:rPr>
              <w:t>μᾶλλον</w:t>
            </w:r>
            <w:r w:rsidRPr="00C413C7">
              <w:t xml:space="preserve"> </w:t>
            </w:r>
            <w:r w:rsidRPr="0029681F">
              <w:rPr>
                <w:lang w:val="el-GR"/>
              </w:rPr>
              <w:t>δὲ</w:t>
            </w:r>
            <w:r w:rsidRPr="00C413C7">
              <w:t xml:space="preserve"> </w:t>
            </w:r>
            <w:r w:rsidRPr="0029681F">
              <w:rPr>
                <w:lang w:val="el-GR"/>
              </w:rPr>
              <w:t>τοῖς</w:t>
            </w:r>
            <w:r w:rsidRPr="00C413C7">
              <w:t xml:space="preserve"> </w:t>
            </w:r>
            <w:r w:rsidRPr="0029681F">
              <w:rPr>
                <w:lang w:val="el-GR"/>
              </w:rPr>
              <w:t>τότ᾽</w:t>
            </w:r>
            <w:r w:rsidRPr="00C413C7">
              <w:t xml:space="preserve"> </w:t>
            </w:r>
            <w:r w:rsidRPr="0029681F">
              <w:rPr>
                <w:lang w:val="el-GR"/>
              </w:rPr>
              <w:t>οὖσιν</w:t>
            </w:r>
            <w:r w:rsidRPr="00C413C7">
              <w:t xml:space="preserve"> </w:t>
            </w:r>
            <w:r w:rsidRPr="0029681F">
              <w:rPr>
                <w:lang w:val="el-GR"/>
              </w:rPr>
              <w:t>Ἀθηναίοις</w:t>
            </w:r>
            <w:r w:rsidRPr="00C413C7">
              <w:t>,</w:t>
            </w:r>
            <w:r>
              <w:t xml:space="preserve"> </w:t>
            </w:r>
            <w:r w:rsidRPr="0029681F">
              <w:rPr>
                <w:lang w:val="el-GR"/>
              </w:rPr>
              <w:t>ἐπειδή</w:t>
            </w:r>
            <w:r w:rsidRPr="001A7D94">
              <w:t xml:space="preserve"> </w:t>
            </w:r>
            <w:r w:rsidRPr="0029681F">
              <w:rPr>
                <w:lang w:val="el-GR"/>
              </w:rPr>
              <w:t>τισιν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μετρίως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ἐδόκουν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προσφέρεσθαι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πάντες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ᾤοντο</w:t>
            </w:r>
            <w:r w:rsidRPr="001A7D94">
              <w:t xml:space="preserve"> </w:t>
            </w:r>
            <w:r w:rsidRPr="0029681F">
              <w:rPr>
                <w:lang w:val="el-GR"/>
              </w:rPr>
              <w:t>δεῖν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μηδὲν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ἐγκαλεῖν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ἔχοντες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αὐτοῖς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μετὰ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ἠδικημένων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πολεμεῖν</w:t>
            </w:r>
            <w:r>
              <w:rPr>
                <w:lang w:val="el-GR"/>
              </w:rPr>
              <w:t>·</w:t>
            </w:r>
            <w:r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πάλιν</w:t>
            </w:r>
            <w:r w:rsidRPr="001A7D94">
              <w:t xml:space="preserve"> </w:t>
            </w:r>
            <w:r w:rsidRPr="0029681F">
              <w:rPr>
                <w:lang w:val="el-GR"/>
              </w:rPr>
              <w:t>Λακεδαιμονίοις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ἄρξασι</w:t>
            </w:r>
            <w:r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παρελθοῦσιν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εἰς</w:t>
            </w:r>
            <w:r w:rsidRPr="001A7D94">
              <w:t xml:space="preserve"> </w:t>
            </w:r>
            <w:r w:rsidRPr="0029681F">
              <w:rPr>
                <w:lang w:val="el-GR"/>
              </w:rPr>
              <w:t>τὴν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αὐτὴν</w:t>
            </w:r>
            <w:r w:rsidRPr="001A7D94">
              <w:t xml:space="preserve"> </w:t>
            </w:r>
            <w:r w:rsidRPr="0029681F">
              <w:rPr>
                <w:lang w:val="el-GR"/>
              </w:rPr>
              <w:t>δυναστείαν</w:t>
            </w:r>
            <w:r w:rsidRPr="001A7D94">
              <w:t xml:space="preserve"> </w:t>
            </w:r>
            <w:r w:rsidRPr="0029681F">
              <w:rPr>
                <w:lang w:val="el-GR"/>
              </w:rPr>
              <w:t>ὑμῖν</w:t>
            </w:r>
            <w:r w:rsidRPr="001A7D94">
              <w:t>,</w:t>
            </w:r>
            <w:r>
              <w:t xml:space="preserve"> </w:t>
            </w:r>
            <w:r w:rsidRPr="0029681F">
              <w:rPr>
                <w:lang w:val="el-GR"/>
              </w:rPr>
              <w:t>ἐπειδὴ</w:t>
            </w:r>
            <w:r w:rsidRPr="001A7D94">
              <w:t xml:space="preserve"> </w:t>
            </w:r>
            <w:r w:rsidRPr="0029681F">
              <w:rPr>
                <w:lang w:val="el-GR"/>
              </w:rPr>
              <w:t>πλεονάζειν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ἐπεχείρουν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πέρα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μετρίου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καθεστηκότ᾽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ἐκίνουν</w:t>
            </w:r>
            <w:r w:rsidRPr="001A7D94">
              <w:t xml:space="preserve">, </w:t>
            </w:r>
            <w:r w:rsidRPr="0029681F">
              <w:rPr>
                <w:lang w:val="el-GR"/>
              </w:rPr>
              <w:t>πάντες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εἰς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πόλεμον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κατέστησαν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μηδὲν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ἐγκαλοῦντες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αὐτοῖς</w:t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27874232" w14:textId="51CD9AB4" w:rsidR="0010669A" w:rsidRPr="00E1377D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1A7D94" w14:paraId="6D8934B4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75050801" w14:textId="23CFCDFF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[25]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τί</w:t>
            </w:r>
            <w:r w:rsidRPr="001A7D94">
              <w:t xml:space="preserve"> </w:t>
            </w:r>
            <w:r w:rsidRPr="0029681F">
              <w:rPr>
                <w:lang w:val="el-GR"/>
              </w:rPr>
              <w:t>δεῖ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τοὺς</w:t>
            </w:r>
            <w:r w:rsidRPr="001A7D94">
              <w:t xml:space="preserve"> </w:t>
            </w:r>
            <w:r w:rsidRPr="0029681F">
              <w:rPr>
                <w:lang w:val="el-GR"/>
              </w:rPr>
              <w:t>ἄλλους</w:t>
            </w:r>
            <w:r w:rsidRPr="001A7D94">
              <w:t xml:space="preserve"> </w:t>
            </w:r>
            <w:r w:rsidRPr="0029681F">
              <w:rPr>
                <w:lang w:val="el-GR"/>
              </w:rPr>
              <w:t>λέγειν</w:t>
            </w:r>
            <w:r w:rsidRPr="001A7D94">
              <w:t xml:space="preserve">; </w:t>
            </w:r>
            <w:r w:rsidRPr="0029681F">
              <w:rPr>
                <w:lang w:val="el-GR"/>
              </w:rPr>
              <w:t>ἀλλ᾽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ἡμεῖς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αὐτοὶ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Λακεδαιμόνιοι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οὐδὲν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ἂν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εἰπεῖν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ἔχοντες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ἐξ</w:t>
            </w:r>
            <w:r w:rsidRPr="001A7D94">
              <w:t xml:space="preserve"> </w:t>
            </w:r>
            <w:r w:rsidRPr="0029681F">
              <w:rPr>
                <w:lang w:val="el-GR"/>
              </w:rPr>
              <w:t>ἀρχῆς</w:t>
            </w:r>
            <w:r w:rsidRPr="001A7D94">
              <w:t xml:space="preserve"> </w:t>
            </w:r>
            <w:r w:rsidRPr="0029681F">
              <w:rPr>
                <w:lang w:val="el-GR"/>
              </w:rPr>
              <w:t>ὅ</w:t>
            </w:r>
            <w:r w:rsidRPr="001A7D94">
              <w:t xml:space="preserve"> </w:t>
            </w:r>
            <w:r w:rsidRPr="0029681F">
              <w:rPr>
                <w:lang w:val="el-GR"/>
              </w:rPr>
              <w:t>τι</w:t>
            </w:r>
            <w:r w:rsidRPr="001A7D94">
              <w:t xml:space="preserve"> </w:t>
            </w:r>
            <w:r w:rsidRPr="0029681F">
              <w:rPr>
                <w:lang w:val="el-GR"/>
              </w:rPr>
              <w:t>ἠδικούμεθ᾽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ὑπ᾽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ἀλλήλων</w:t>
            </w:r>
            <w:r w:rsidRPr="001A7D94">
              <w:t xml:space="preserve">, </w:t>
            </w:r>
            <w:r w:rsidRPr="0029681F">
              <w:rPr>
                <w:lang w:val="el-GR"/>
              </w:rPr>
              <w:t>ὅμως</w:t>
            </w:r>
            <w:r w:rsidRPr="001A7D94">
              <w:t xml:space="preserve"> </w:t>
            </w:r>
            <w:r w:rsidRPr="0029681F">
              <w:rPr>
                <w:lang w:val="el-GR"/>
              </w:rPr>
              <w:t>ὑπὲρ</w:t>
            </w:r>
            <w:r w:rsidRPr="001A7D94">
              <w:t xml:space="preserve"> </w:t>
            </w:r>
            <w:r w:rsidRPr="0029681F">
              <w:rPr>
                <w:lang w:val="el-GR"/>
              </w:rPr>
              <w:t>ὧν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τοὺς</w:t>
            </w:r>
            <w:r w:rsidRPr="001A7D94">
              <w:t xml:space="preserve"> </w:t>
            </w:r>
            <w:r w:rsidRPr="0029681F">
              <w:rPr>
                <w:lang w:val="el-GR"/>
              </w:rPr>
              <w:t>ἄλλους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ἀδικουμένους</w:t>
            </w:r>
            <w:r w:rsidRPr="001A7D94">
              <w:t xml:space="preserve"> </w:t>
            </w:r>
            <w:r w:rsidRPr="0029681F">
              <w:rPr>
                <w:lang w:val="el-GR"/>
              </w:rPr>
              <w:t>ἑωρῶμεν</w:t>
            </w:r>
            <w:r w:rsidRPr="001A7D94">
              <w:t xml:space="preserve">, </w:t>
            </w:r>
            <w:r w:rsidRPr="0029681F">
              <w:rPr>
                <w:lang w:val="el-GR"/>
              </w:rPr>
              <w:t>πολεμεῖν</w:t>
            </w:r>
            <w:r w:rsidRPr="001A7D94">
              <w:t xml:space="preserve"> </w:t>
            </w:r>
            <w:r w:rsidRPr="0029681F">
              <w:rPr>
                <w:lang w:val="el-GR"/>
              </w:rPr>
              <w:t>ᾠόμεθα</w:t>
            </w:r>
            <w:r w:rsidRPr="001A7D94">
              <w:t xml:space="preserve"> </w:t>
            </w:r>
            <w:r w:rsidRPr="0029681F">
              <w:rPr>
                <w:lang w:val="el-GR"/>
              </w:rPr>
              <w:t>δεῖν</w:t>
            </w:r>
            <w:r w:rsidRPr="001A7D94">
              <w:t xml:space="preserve">. </w:t>
            </w:r>
            <w:r w:rsidRPr="0029681F">
              <w:rPr>
                <w:lang w:val="el-GR"/>
              </w:rPr>
              <w:t>καίτοι</w:t>
            </w:r>
            <w:r w:rsidRPr="001A7D94">
              <w:t xml:space="preserve"> </w:t>
            </w:r>
            <w:r w:rsidRPr="0029681F">
              <w:rPr>
                <w:lang w:val="el-GR"/>
              </w:rPr>
              <w:t>πάνθ᾽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ὅσ᾽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ἐξημάρτηται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Λακεδαιμονίοις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τοῖς</w:t>
            </w:r>
            <w:r w:rsidRPr="001A7D94">
              <w:t xml:space="preserve"> </w:t>
            </w:r>
            <w:r w:rsidRPr="0029681F">
              <w:rPr>
                <w:lang w:val="el-GR"/>
              </w:rPr>
              <w:t>τριάκοντ᾽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ἐκείνοις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ἔτεσιν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τοῖς</w:t>
            </w:r>
            <w:r w:rsidRPr="001A7D94">
              <w:t xml:space="preserve"> </w:t>
            </w:r>
            <w:r w:rsidRPr="0029681F">
              <w:rPr>
                <w:lang w:val="el-GR"/>
              </w:rPr>
              <w:t>ἡμετέροις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προγόνοις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τοῖς</w:t>
            </w:r>
            <w:r w:rsidRPr="001A7D94">
              <w:t xml:space="preserve"> </w:t>
            </w:r>
            <w:r w:rsidRPr="0029681F">
              <w:rPr>
                <w:lang w:val="el-GR"/>
              </w:rPr>
              <w:t>ἑβδομήκοντα</w:t>
            </w:r>
            <w:r w:rsidRPr="001A7D94">
              <w:t xml:space="preserve">, </w:t>
            </w:r>
            <w:r w:rsidRPr="0029681F">
              <w:rPr>
                <w:lang w:val="el-GR"/>
              </w:rPr>
              <w:t>ἐλάττον᾽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ἐστίν</w:t>
            </w:r>
            <w:r w:rsidRPr="001A7D94">
              <w:t xml:space="preserve">, </w:t>
            </w:r>
            <w:r w:rsidRPr="0029681F">
              <w:rPr>
                <w:lang w:val="el-GR"/>
              </w:rPr>
              <w:t>ὦ</w:t>
            </w:r>
            <w:r w:rsidRPr="001A7D94">
              <w:t xml:space="preserve"> </w:t>
            </w:r>
            <w:r w:rsidRPr="0029681F">
              <w:rPr>
                <w:lang w:val="el-GR"/>
              </w:rPr>
              <w:t>ἄνδρες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Ἀθηναῖοι</w:t>
            </w:r>
            <w:r w:rsidRPr="001A7D94">
              <w:t xml:space="preserve">, </w:t>
            </w:r>
            <w:r w:rsidRPr="0029681F">
              <w:rPr>
                <w:lang w:val="el-GR"/>
              </w:rPr>
              <w:t>ὧν</w:t>
            </w:r>
            <w:r w:rsidRPr="001A7D94">
              <w:t xml:space="preserve"> </w:t>
            </w:r>
            <w:r w:rsidRPr="0029681F">
              <w:rPr>
                <w:lang w:val="el-GR"/>
              </w:rPr>
              <w:t>Φίλιππος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τρισὶ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δέκ᾽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οὐχ</w:t>
            </w:r>
            <w:r w:rsidRPr="001A7D94">
              <w:t xml:space="preserve"> </w:t>
            </w:r>
            <w:r w:rsidRPr="0029681F">
              <w:rPr>
                <w:lang w:val="el-GR"/>
              </w:rPr>
              <w:t>ὅλοις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ἔτεσιν</w:t>
            </w:r>
            <w:r w:rsidRPr="001A7D94">
              <w:t xml:space="preserve">, </w:t>
            </w:r>
            <w:r w:rsidRPr="0029681F">
              <w:rPr>
                <w:lang w:val="el-GR"/>
              </w:rPr>
              <w:t>οἷς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ἐπιπολάζει</w:t>
            </w:r>
            <w:r w:rsidRPr="001A7D94">
              <w:t xml:space="preserve">, </w:t>
            </w:r>
            <w:r w:rsidRPr="0029681F">
              <w:rPr>
                <w:lang w:val="el-GR"/>
              </w:rPr>
              <w:t>ἠδίκηκε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τοὺς</w:t>
            </w:r>
            <w:r w:rsidRPr="001A7D94">
              <w:t xml:space="preserve"> </w:t>
            </w:r>
            <w:r w:rsidRPr="0029681F">
              <w:rPr>
                <w:lang w:val="el-GR"/>
              </w:rPr>
              <w:t>Ἕλληνας</w:t>
            </w:r>
            <w:r w:rsidRPr="001A7D94">
              <w:t xml:space="preserve">, </w:t>
            </w:r>
            <w:r w:rsidRPr="0029681F">
              <w:rPr>
                <w:lang w:val="el-GR"/>
              </w:rPr>
              <w:t>μᾶλλον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μέρος</w:t>
            </w:r>
            <w:r w:rsidRPr="001A7D94">
              <w:t xml:space="preserve"> </w:t>
            </w:r>
            <w:r w:rsidRPr="0029681F">
              <w:rPr>
                <w:lang w:val="el-GR"/>
              </w:rPr>
              <w:t>τούτων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ἐκεῖνα</w:t>
            </w:r>
            <w:r>
              <w:rPr>
                <w:rStyle w:val="Funotenzeichen"/>
                <w:lang w:val="el-GR"/>
              </w:rPr>
              <w:footnoteReference w:id="13"/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6EAFE8F7" w14:textId="57B4BB30" w:rsidR="0010669A" w:rsidRPr="001A7D94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1A7D94" w14:paraId="2AD619BC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18607A24" w14:textId="0EEB8F1A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[26]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ἐκ</w:t>
            </w:r>
            <w:r w:rsidRPr="001A7D94">
              <w:t xml:space="preserve"> </w:t>
            </w:r>
            <w:r w:rsidRPr="0029681F">
              <w:rPr>
                <w:lang w:val="el-GR"/>
              </w:rPr>
              <w:t>βραχέος</w:t>
            </w:r>
            <w:r w:rsidRPr="001A7D94">
              <w:t xml:space="preserve"> </w:t>
            </w:r>
            <w:r w:rsidRPr="0029681F">
              <w:rPr>
                <w:lang w:val="el-GR"/>
              </w:rPr>
              <w:t>λόγου</w:t>
            </w:r>
            <w:r w:rsidRPr="001A7D94">
              <w:t xml:space="preserve"> </w:t>
            </w:r>
            <w:r w:rsidRPr="0029681F">
              <w:rPr>
                <w:lang w:val="el-GR"/>
              </w:rPr>
              <w:t>ῥᾴδιον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δεῖξαι</w:t>
            </w:r>
            <w:r w:rsidRPr="001A7D94">
              <w:t xml:space="preserve">. </w:t>
            </w:r>
            <w:r w:rsidRPr="0029681F">
              <w:rPr>
                <w:lang w:val="el-GR"/>
              </w:rPr>
              <w:t>Ὄλυνθον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μὲν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δὴ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Μεθώνην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Ἀπολλωνίαν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δύο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τριάκοντα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ἐπὶ</w:t>
            </w:r>
            <w:r w:rsidRPr="001A7D94">
              <w:t xml:space="preserve"> </w:t>
            </w:r>
            <w:r w:rsidRPr="0029681F">
              <w:rPr>
                <w:lang w:val="el-GR"/>
              </w:rPr>
              <w:t>Θρᾴκης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ἐῶ</w:t>
            </w:r>
            <w:r w:rsidRPr="001A7D94">
              <w:t xml:space="preserve">, </w:t>
            </w:r>
            <w:r w:rsidRPr="0029681F">
              <w:rPr>
                <w:lang w:val="el-GR"/>
              </w:rPr>
              <w:t>ἃς</w:t>
            </w:r>
            <w:r w:rsidRPr="001A7D94">
              <w:t xml:space="preserve"> </w:t>
            </w:r>
            <w:r w:rsidRPr="0029681F">
              <w:rPr>
                <w:lang w:val="el-GR"/>
              </w:rPr>
              <w:t>ἁπάσας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οὕτως</w:t>
            </w:r>
            <w:r w:rsidRPr="001A7D94">
              <w:t xml:space="preserve"> </w:t>
            </w:r>
            <w:r w:rsidRPr="0029681F">
              <w:rPr>
                <w:lang w:val="el-GR"/>
              </w:rPr>
              <w:t>ὠμῶς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ἀνῄρηκεν</w:t>
            </w:r>
            <w:r w:rsidRPr="001A7D94">
              <w:t xml:space="preserve"> </w:t>
            </w:r>
            <w:r w:rsidRPr="0029681F">
              <w:rPr>
                <w:lang w:val="el-GR"/>
              </w:rPr>
              <w:t>ὥστε</w:t>
            </w:r>
            <w:r w:rsidRPr="001A7D94">
              <w:t xml:space="preserve"> </w:t>
            </w:r>
            <w:r w:rsidRPr="0029681F">
              <w:rPr>
                <w:lang w:val="el-GR"/>
              </w:rPr>
              <w:t>μηδ᾽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</w:t>
            </w:r>
            <w:r w:rsidRPr="001A7D94">
              <w:t xml:space="preserve"> </w:t>
            </w:r>
            <w:r w:rsidRPr="0029681F">
              <w:rPr>
                <w:lang w:val="el-GR"/>
              </w:rPr>
              <w:t>πώποτ᾽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ᾠκήθησαν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προσελθόντ᾽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εἶναι</w:t>
            </w:r>
            <w:r w:rsidRPr="001A7D94">
              <w:t xml:space="preserve"> </w:t>
            </w:r>
            <w:r w:rsidRPr="0029681F">
              <w:rPr>
                <w:lang w:val="el-GR"/>
              </w:rPr>
              <w:t>ῥᾴδιον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εἰπεῖν</w:t>
            </w:r>
            <w:r>
              <w:rPr>
                <w:lang w:val="el-GR"/>
              </w:rPr>
              <w:t>·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τὸ</w:t>
            </w:r>
            <w:r w:rsidRPr="001A7D94">
              <w:t xml:space="preserve"> </w:t>
            </w:r>
            <w:r w:rsidRPr="0029681F">
              <w:rPr>
                <w:lang w:val="el-GR"/>
              </w:rPr>
              <w:t>Φωκέων</w:t>
            </w:r>
            <w:r w:rsidRPr="001A7D94">
              <w:t xml:space="preserve"> </w:t>
            </w:r>
            <w:r w:rsidRPr="0029681F">
              <w:rPr>
                <w:lang w:val="el-GR"/>
              </w:rPr>
              <w:t>ἔθνος</w:t>
            </w:r>
            <w:r w:rsidRPr="001A7D94">
              <w:t xml:space="preserve"> </w:t>
            </w:r>
            <w:r w:rsidRPr="0029681F">
              <w:rPr>
                <w:lang w:val="el-GR"/>
              </w:rPr>
              <w:t>τοσοῦτον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ἀνῃρημένον</w:t>
            </w:r>
            <w:r w:rsidRPr="001A7D94">
              <w:t xml:space="preserve"> </w:t>
            </w:r>
            <w:r w:rsidRPr="0029681F">
              <w:rPr>
                <w:lang w:val="el-GR"/>
              </w:rPr>
              <w:t>σιωπῶ</w:t>
            </w:r>
            <w:r w:rsidRPr="001A7D94">
              <w:t xml:space="preserve">. </w:t>
            </w:r>
            <w:r w:rsidRPr="0029681F">
              <w:rPr>
                <w:lang w:val="el-GR"/>
              </w:rPr>
              <w:t>ἀλλὰ</w:t>
            </w:r>
            <w:r w:rsidRPr="001A7D94">
              <w:t xml:space="preserve"> </w:t>
            </w:r>
            <w:r w:rsidRPr="0029681F">
              <w:rPr>
                <w:lang w:val="el-GR"/>
              </w:rPr>
              <w:t>Θετταλία</w:t>
            </w:r>
            <w:r w:rsidRPr="001A7D94">
              <w:t xml:space="preserve"> </w:t>
            </w:r>
            <w:r w:rsidRPr="0029681F">
              <w:rPr>
                <w:lang w:val="el-GR"/>
              </w:rPr>
              <w:t>πῶς</w:t>
            </w:r>
            <w:r w:rsidRPr="001A7D94">
              <w:t xml:space="preserve"> </w:t>
            </w:r>
            <w:r w:rsidRPr="0029681F">
              <w:rPr>
                <w:lang w:val="el-GR"/>
              </w:rPr>
              <w:t>ἔχει</w:t>
            </w:r>
            <w:r w:rsidRPr="001A7D94">
              <w:t xml:space="preserve">; </w:t>
            </w:r>
            <w:r w:rsidRPr="0029681F">
              <w:rPr>
                <w:lang w:val="el-GR"/>
              </w:rPr>
              <w:t>οὐχὶ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πολιτείας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παρῄρηται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τετραρχίας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κατέστησεν</w:t>
            </w:r>
            <w:r w:rsidRPr="001A7D94">
              <w:t xml:space="preserve">, </w:t>
            </w:r>
            <w:r w:rsidRPr="0029681F">
              <w:rPr>
                <w:lang w:val="el-GR"/>
              </w:rPr>
              <w:t>ἵνα</w:t>
            </w:r>
            <w:r w:rsidRPr="001A7D94">
              <w:t xml:space="preserve"> </w:t>
            </w:r>
            <w:r w:rsidRPr="0029681F">
              <w:rPr>
                <w:lang w:val="el-GR"/>
              </w:rPr>
              <w:t>μὴ</w:t>
            </w:r>
            <w:r w:rsidRPr="001A7D94">
              <w:t xml:space="preserve"> </w:t>
            </w:r>
            <w:r w:rsidRPr="0029681F">
              <w:rPr>
                <w:lang w:val="el-GR"/>
              </w:rPr>
              <w:t>μόνον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ἀλλὰ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ἔθνη</w:t>
            </w:r>
            <w:r w:rsidRPr="001A7D94">
              <w:t xml:space="preserve"> </w:t>
            </w:r>
            <w:r w:rsidRPr="0029681F">
              <w:rPr>
                <w:lang w:val="el-GR"/>
              </w:rPr>
              <w:t>δουλεύωσιν</w:t>
            </w:r>
            <w:r w:rsidRPr="001A7D94">
              <w:t xml:space="preserve">;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514A4F6E" w14:textId="4B7E0B6F" w:rsidR="0010669A" w:rsidRPr="001A7D94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1A7D94" w14:paraId="3F1C9D4D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5BFF6760" w14:textId="4F0D5651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[27]</w:t>
            </w:r>
            <w:r w:rsidRPr="001A7D94">
              <w:t xml:space="preserve"> </w:t>
            </w:r>
            <w:r w:rsidRPr="0029681F">
              <w:rPr>
                <w:lang w:val="el-GR"/>
              </w:rPr>
              <w:t>αἱ</w:t>
            </w:r>
            <w:r w:rsidRPr="001A7D94">
              <w:t xml:space="preserve"> </w:t>
            </w:r>
            <w:r w:rsidRPr="0029681F">
              <w:rPr>
                <w:lang w:val="el-GR"/>
              </w:rPr>
              <w:t>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Εὐβοίᾳ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οὐκ</w:t>
            </w:r>
            <w:r w:rsidRPr="001A7D94">
              <w:t xml:space="preserve"> </w:t>
            </w:r>
            <w:r w:rsidRPr="0029681F">
              <w:rPr>
                <w:lang w:val="el-GR"/>
              </w:rPr>
              <w:t>ἤδη</w:t>
            </w:r>
            <w:r w:rsidRPr="001A7D94">
              <w:t xml:space="preserve"> </w:t>
            </w:r>
            <w:r w:rsidRPr="0029681F">
              <w:rPr>
                <w:lang w:val="el-GR"/>
              </w:rPr>
              <w:t>τυραννοῦνται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ταῦτ᾽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νήσῳ</w:t>
            </w:r>
            <w:r w:rsidRPr="001A7D94">
              <w:t xml:space="preserve"> </w:t>
            </w:r>
            <w:r w:rsidRPr="0029681F">
              <w:rPr>
                <w:lang w:val="el-GR"/>
              </w:rPr>
              <w:t>πλησίον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Θηβῶν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Ἀθηνῶν</w:t>
            </w:r>
            <w:r w:rsidRPr="001A7D94">
              <w:t xml:space="preserve">;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διαρρήδην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εἰς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ἐπιστολὰς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γράφει</w:t>
            </w:r>
            <w:r w:rsidRPr="001A7D94">
              <w:t xml:space="preserve"> ‘</w:t>
            </w:r>
            <w:r w:rsidRPr="0029681F">
              <w:rPr>
                <w:lang w:val="el-GR"/>
              </w:rPr>
              <w:t>ἐμοὶ</w:t>
            </w:r>
            <w:r w:rsidRPr="001A7D94">
              <w:t xml:space="preserve"> </w:t>
            </w:r>
            <w:r w:rsidRPr="0029681F">
              <w:rPr>
                <w:lang w:val="el-GR"/>
              </w:rPr>
              <w:t>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ἐστὶν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εἰρήνη</w:t>
            </w:r>
            <w:r w:rsidRPr="001A7D94">
              <w:t xml:space="preserve"> </w:t>
            </w:r>
            <w:r w:rsidRPr="0029681F">
              <w:rPr>
                <w:lang w:val="el-GR"/>
              </w:rPr>
              <w:t>πρὸς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τοὺς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ἀκούειν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ἐμοῦ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βουλομένους</w:t>
            </w:r>
            <w:r w:rsidRPr="001A7D94">
              <w:t xml:space="preserve">’;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γράφει</w:t>
            </w:r>
            <w:r w:rsidRPr="001A7D94">
              <w:t xml:space="preserve"> </w:t>
            </w:r>
            <w:r w:rsidRPr="0029681F">
              <w:rPr>
                <w:lang w:val="el-GR"/>
              </w:rPr>
              <w:t>μὲν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ταῦτα</w:t>
            </w:r>
            <w:r w:rsidRPr="001A7D94">
              <w:t xml:space="preserve">, </w:t>
            </w:r>
            <w:r w:rsidRPr="0029681F">
              <w:rPr>
                <w:lang w:val="el-GR"/>
              </w:rPr>
              <w:t>τοῖς</w:t>
            </w:r>
            <w:r w:rsidRPr="001A7D94">
              <w:t xml:space="preserve"> </w:t>
            </w:r>
            <w:r w:rsidRPr="0029681F">
              <w:rPr>
                <w:lang w:val="el-GR"/>
              </w:rPr>
              <w:t>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ἔργοις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ποιεῖ</w:t>
            </w:r>
            <w:r w:rsidRPr="001A7D94">
              <w:t xml:space="preserve">, </w:t>
            </w:r>
            <w:r w:rsidRPr="0029681F">
              <w:rPr>
                <w:lang w:val="el-GR"/>
              </w:rPr>
              <w:t>ἀλλ᾽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ἐφ᾽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Ἑλλήσποντον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οἴχεται</w:t>
            </w:r>
            <w:r w:rsidRPr="001A7D94">
              <w:t xml:space="preserve">, </w:t>
            </w:r>
            <w:r w:rsidRPr="0029681F">
              <w:rPr>
                <w:lang w:val="el-GR"/>
              </w:rPr>
              <w:t>πρότερον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ἧκεν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Ἀμβρακίαν</w:t>
            </w:r>
            <w:r w:rsidRPr="001A7D94">
              <w:t xml:space="preserve">, </w:t>
            </w:r>
            <w:r w:rsidRPr="0029681F">
              <w:rPr>
                <w:lang w:val="el-GR"/>
              </w:rPr>
              <w:t>Ἦλιν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ἔχει</w:t>
            </w:r>
            <w:r w:rsidRPr="001A7D94">
              <w:t xml:space="preserve"> </w:t>
            </w:r>
            <w:r w:rsidRPr="0029681F">
              <w:rPr>
                <w:lang w:val="el-GR"/>
              </w:rPr>
              <w:t>τηλικαύτην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πόλιν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Πελοποννήσῳ</w:t>
            </w:r>
            <w:r w:rsidRPr="001A7D94">
              <w:t xml:space="preserve">, </w:t>
            </w:r>
            <w:r w:rsidRPr="0029681F">
              <w:rPr>
                <w:lang w:val="el-GR"/>
              </w:rPr>
              <w:t>Μεγάροις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ἐπεβούλευσεν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πρώην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οὔθ᾽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ἡ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Ἑλλὰς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οὔθ᾽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ἡ</w:t>
            </w:r>
            <w:r w:rsidRPr="001A7D94">
              <w:t xml:space="preserve"> </w:t>
            </w:r>
            <w:r w:rsidRPr="0029681F">
              <w:rPr>
                <w:lang w:val="el-GR"/>
              </w:rPr>
              <w:t>βάρβαρος</w:t>
            </w:r>
            <w:r w:rsidRPr="001A7D94">
              <w:t xml:space="preserve"> </w:t>
            </w:r>
            <w:r w:rsidRPr="0029681F">
              <w:rPr>
                <w:lang w:val="el-GR"/>
              </w:rPr>
              <w:t>τὴν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πλεονεξίαν</w:t>
            </w:r>
            <w:r w:rsidRPr="001A7D94">
              <w:t xml:space="preserve"> </w:t>
            </w:r>
            <w:r w:rsidRPr="0029681F">
              <w:rPr>
                <w:lang w:val="el-GR"/>
              </w:rPr>
              <w:t>χωρεῖ</w:t>
            </w:r>
            <w:r w:rsidRPr="001A7D94">
              <w:t xml:space="preserve"> </w:t>
            </w:r>
            <w:r w:rsidRPr="0029681F">
              <w:rPr>
                <w:lang w:val="el-GR"/>
              </w:rPr>
              <w:t>τἀνθρώπου</w:t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4394D0D7" w14:textId="3D8989DA" w:rsidR="0010669A" w:rsidRPr="001A7D94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1A7D94" w14:paraId="409FA276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4D8365EB" w14:textId="31106A2A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[28]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ταῦθ᾽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ὁρῶντες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Ἕλληνες</w:t>
            </w:r>
            <w:r w:rsidRPr="001A7D94">
              <w:t xml:space="preserve"> </w:t>
            </w:r>
            <w:r w:rsidRPr="0029681F">
              <w:rPr>
                <w:lang w:val="el-GR"/>
              </w:rPr>
              <w:t>ἅπαντες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ἀκούοντες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πέμπομεν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πρέσβεις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περὶ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τούτων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πρὸς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ἀλλήλους</w:t>
            </w:r>
            <w:r w:rsidRPr="001A7D94">
              <w:t xml:space="preserve"> </w:t>
            </w:r>
            <w:r w:rsidRPr="0029681F">
              <w:rPr>
                <w:lang w:val="el-GR"/>
              </w:rPr>
              <w:t>κἀγανακτοῦμεν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οὕτω</w:t>
            </w:r>
            <w:r w:rsidRPr="001A7D94">
              <w:t xml:space="preserve"> </w:t>
            </w:r>
            <w:r w:rsidRPr="0029681F">
              <w:rPr>
                <w:lang w:val="el-GR"/>
              </w:rPr>
              <w:t>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κακῶς</w:t>
            </w:r>
            <w:r w:rsidRPr="001A7D94">
              <w:t xml:space="preserve"> </w:t>
            </w:r>
            <w:r w:rsidRPr="0029681F">
              <w:rPr>
                <w:lang w:val="el-GR"/>
              </w:rPr>
              <w:t>διακείμεθα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διορωρύγμεθα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πόλεις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ὥστ᾽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ἄχρι</w:t>
            </w:r>
            <w:r w:rsidRPr="001A7D94">
              <w:t xml:space="preserve"> </w:t>
            </w:r>
            <w:r w:rsidRPr="0029681F">
              <w:rPr>
                <w:lang w:val="el-GR"/>
              </w:rPr>
              <w:t>τῆς</w:t>
            </w:r>
            <w:r w:rsidRPr="001A7D94">
              <w:t xml:space="preserve"> </w:t>
            </w:r>
            <w:r w:rsidRPr="0029681F">
              <w:rPr>
                <w:lang w:val="el-GR"/>
              </w:rPr>
              <w:t>τήμερον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ἡμέρας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οὐδὲν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οὔτε</w:t>
            </w:r>
            <w:r w:rsidRPr="001A7D94"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συμφερόντων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οὔτε</w:t>
            </w:r>
            <w:r w:rsidRPr="001A7D94"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δεόντων</w:t>
            </w:r>
            <w:r w:rsidRPr="001A7D94">
              <w:t xml:space="preserve"> </w:t>
            </w:r>
            <w:r w:rsidRPr="0029681F">
              <w:rPr>
                <w:lang w:val="el-GR"/>
              </w:rPr>
              <w:t>πρᾶξαι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δυνάμεθα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συστῆναι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κοινωνίαν</w:t>
            </w:r>
            <w:r w:rsidRPr="001A7D94">
              <w:t xml:space="preserve"> </w:t>
            </w:r>
            <w:r w:rsidRPr="0029681F">
              <w:rPr>
                <w:lang w:val="el-GR"/>
              </w:rPr>
              <w:t>βοηθείας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φιλίας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οὐδεμίαν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ποιήσασθαι</w:t>
            </w:r>
            <w:r w:rsidRPr="001A7D94">
              <w:t xml:space="preserve">,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6361F923" w14:textId="607A3295" w:rsidR="0010669A" w:rsidRPr="001A7D94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1A7D94" w14:paraId="083C2037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329EDE8F" w14:textId="0BA77414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[29]</w:t>
            </w:r>
            <w:r w:rsidRPr="001A7D94">
              <w:t xml:space="preserve"> </w:t>
            </w:r>
            <w:r w:rsidRPr="0029681F">
              <w:rPr>
                <w:lang w:val="el-GR"/>
              </w:rPr>
              <w:t>ἀλλὰ</w:t>
            </w:r>
            <w:r w:rsidRPr="001A7D94">
              <w:t xml:space="preserve"> </w:t>
            </w:r>
            <w:r w:rsidRPr="0029681F">
              <w:rPr>
                <w:lang w:val="el-GR"/>
              </w:rPr>
              <w:t>μείζω</w:t>
            </w:r>
            <w:r w:rsidRPr="001A7D94">
              <w:t xml:space="preserve"> </w:t>
            </w:r>
            <w:r w:rsidRPr="0029681F">
              <w:rPr>
                <w:lang w:val="el-GR"/>
              </w:rPr>
              <w:t>γιγνόμενον</w:t>
            </w:r>
            <w:r w:rsidRPr="001A7D94">
              <w:t xml:space="preserve"> </w:t>
            </w:r>
            <w:r w:rsidRPr="0029681F">
              <w:rPr>
                <w:lang w:val="el-GR"/>
              </w:rPr>
              <w:t>τὸν</w:t>
            </w:r>
            <w:r w:rsidRPr="001A7D94">
              <w:t xml:space="preserve"> </w:t>
            </w:r>
            <w:r w:rsidRPr="0029681F">
              <w:rPr>
                <w:lang w:val="el-GR"/>
              </w:rPr>
              <w:t>ἄνθρωπον</w:t>
            </w:r>
            <w:r w:rsidRPr="001A7D94">
              <w:t xml:space="preserve"> </w:t>
            </w:r>
            <w:r w:rsidRPr="0029681F">
              <w:rPr>
                <w:lang w:val="el-GR"/>
              </w:rPr>
              <w:t>περιορῶμεν</w:t>
            </w:r>
            <w:r w:rsidRPr="001A7D94">
              <w:t xml:space="preserve">, </w:t>
            </w:r>
            <w:r w:rsidRPr="0029681F">
              <w:rPr>
                <w:lang w:val="el-GR"/>
              </w:rPr>
              <w:t>τὸν</w:t>
            </w:r>
            <w:r w:rsidRPr="001A7D94">
              <w:t xml:space="preserve"> </w:t>
            </w:r>
            <w:r w:rsidRPr="0029681F">
              <w:rPr>
                <w:lang w:val="el-GR"/>
              </w:rPr>
              <w:t>χρόνον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κερδᾶναι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τοῦτον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ὃν</w:t>
            </w:r>
            <w:r>
              <w:rPr>
                <w:rStyle w:val="Funotenzeichen"/>
                <w:lang w:val="el-GR"/>
              </w:rPr>
              <w:footnoteReference w:id="14"/>
            </w:r>
            <w:r w:rsidRPr="001A7D94">
              <w:t xml:space="preserve"> </w:t>
            </w:r>
            <w:r w:rsidRPr="0029681F">
              <w:rPr>
                <w:lang w:val="el-GR"/>
              </w:rPr>
              <w:t>ἄλλος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ἀπόλλυται</w:t>
            </w:r>
            <w:r w:rsidRPr="001A7D94">
              <w:t xml:space="preserve"> </w:t>
            </w:r>
            <w:r w:rsidRPr="0029681F">
              <w:rPr>
                <w:lang w:val="el-GR"/>
              </w:rPr>
              <w:t>ἕκαστος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ἐγνωκώς</w:t>
            </w:r>
            <w:r w:rsidRPr="001A7D94">
              <w:t xml:space="preserve">, </w:t>
            </w:r>
            <w:r w:rsidRPr="0029681F">
              <w:rPr>
                <w:lang w:val="el-GR"/>
              </w:rPr>
              <w:t>ὥς</w:t>
            </w:r>
            <w:r w:rsidRPr="001A7D94">
              <w:t xml:space="preserve"> </w:t>
            </w:r>
            <w:r w:rsidRPr="0029681F">
              <w:rPr>
                <w:lang w:val="el-GR"/>
              </w:rPr>
              <w:t>γ᾽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ἐμοὶ</w:t>
            </w:r>
            <w:r w:rsidRPr="001A7D94">
              <w:t xml:space="preserve"> </w:t>
            </w:r>
            <w:r w:rsidRPr="0029681F">
              <w:rPr>
                <w:lang w:val="el-GR"/>
              </w:rPr>
              <w:t>δοκεῖ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οὐχ</w:t>
            </w:r>
            <w:r w:rsidRPr="001A7D94">
              <w:t xml:space="preserve"> </w:t>
            </w:r>
            <w:r w:rsidRPr="0029681F">
              <w:rPr>
                <w:lang w:val="el-GR"/>
              </w:rPr>
              <w:t>ὅπως</w:t>
            </w:r>
            <w:r w:rsidRPr="001A7D94">
              <w:t xml:space="preserve"> </w:t>
            </w:r>
            <w:r w:rsidRPr="0029681F">
              <w:rPr>
                <w:lang w:val="el-GR"/>
              </w:rPr>
              <w:lastRenderedPageBreak/>
              <w:t>σωθήσεται</w:t>
            </w:r>
            <w:r w:rsidRPr="001A7D94">
              <w:t xml:space="preserve"> </w:t>
            </w:r>
            <w:r w:rsidRPr="0029681F">
              <w:rPr>
                <w:lang w:val="el-GR"/>
              </w:rPr>
              <w:t>τὰ</w:t>
            </w:r>
            <w:r w:rsidRPr="001A7D94">
              <w:t xml:space="preserve"> </w:t>
            </w:r>
            <w:r w:rsidRPr="0029681F">
              <w:rPr>
                <w:lang w:val="el-GR"/>
              </w:rPr>
              <w:t>τῶν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Ἑλλήνων</w:t>
            </w:r>
            <w:r w:rsidRPr="001A7D94">
              <w:t xml:space="preserve"> </w:t>
            </w:r>
            <w:r w:rsidRPr="0029681F">
              <w:rPr>
                <w:lang w:val="el-GR"/>
              </w:rPr>
              <w:t>σκοπῶν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οὐδὲ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πράττων</w:t>
            </w:r>
            <w:r w:rsidRPr="001A7D94">
              <w:t xml:space="preserve">, </w:t>
            </w:r>
            <w:r w:rsidRPr="0029681F">
              <w:rPr>
                <w:lang w:val="el-GR"/>
              </w:rPr>
              <w:t>ἐπεί</w:t>
            </w:r>
            <w:r>
              <w:rPr>
                <w:rStyle w:val="Funotenzeichen"/>
                <w:lang w:val="el-GR"/>
              </w:rPr>
              <w:footnoteReference w:id="15"/>
            </w:r>
            <w:r w:rsidRPr="001A7D94">
              <w:t xml:space="preserve">, </w:t>
            </w:r>
            <w:r w:rsidRPr="0029681F">
              <w:rPr>
                <w:lang w:val="el-GR"/>
              </w:rPr>
              <w:t>ὅτι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γ᾽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ὥσπερ</w:t>
            </w:r>
            <w:r w:rsidRPr="001A7D94">
              <w:t xml:space="preserve"> </w:t>
            </w:r>
            <w:r w:rsidRPr="0029681F">
              <w:rPr>
                <w:lang w:val="el-GR"/>
              </w:rPr>
              <w:t>περίοδος</w:t>
            </w:r>
            <w:r w:rsidRPr="001A7D94">
              <w:t xml:space="preserve"> </w:t>
            </w:r>
            <w:r w:rsidRPr="0029681F">
              <w:rPr>
                <w:lang w:val="el-GR"/>
              </w:rPr>
              <w:t>ἢ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καταβολὴ</w:t>
            </w:r>
            <w:r w:rsidRPr="001A7D94">
              <w:t xml:space="preserve"> </w:t>
            </w:r>
            <w:r w:rsidRPr="0029681F">
              <w:rPr>
                <w:lang w:val="el-GR"/>
              </w:rPr>
              <w:t>πυρετοῦ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ἢ</w:t>
            </w:r>
            <w:r w:rsidRPr="001A7D94">
              <w:t xml:space="preserve"> </w:t>
            </w:r>
            <w:r w:rsidRPr="0029681F">
              <w:rPr>
                <w:lang w:val="el-GR"/>
              </w:rPr>
              <w:t>ἄλλου</w:t>
            </w:r>
            <w:r w:rsidRPr="001A7D94">
              <w:t xml:space="preserve"> </w:t>
            </w:r>
            <w:r w:rsidRPr="0029681F">
              <w:rPr>
                <w:lang w:val="el-GR"/>
              </w:rPr>
              <w:t>τινὸς</w:t>
            </w:r>
            <w:r w:rsidRPr="001A7D94">
              <w:t xml:space="preserve"> </w:t>
            </w:r>
            <w:r w:rsidRPr="0029681F">
              <w:rPr>
                <w:lang w:val="el-GR"/>
              </w:rPr>
              <w:t>κακοῦ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τῷ</w:t>
            </w:r>
            <w:r w:rsidRPr="001A7D94">
              <w:t xml:space="preserve"> </w:t>
            </w:r>
            <w:r w:rsidRPr="0029681F">
              <w:rPr>
                <w:lang w:val="el-GR"/>
              </w:rPr>
              <w:t>πάνυ</w:t>
            </w:r>
            <w:r w:rsidRPr="001A7D94">
              <w:t xml:space="preserve"> </w:t>
            </w:r>
            <w:r w:rsidRPr="0029681F">
              <w:rPr>
                <w:lang w:val="el-GR"/>
              </w:rPr>
              <w:t>πόρρω</w:t>
            </w:r>
            <w:r w:rsidRPr="001A7D94">
              <w:t xml:space="preserve"> </w:t>
            </w:r>
            <w:r w:rsidRPr="0029681F">
              <w:rPr>
                <w:lang w:val="el-GR"/>
              </w:rPr>
              <w:t>δοκοῦντι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νῦν</w:t>
            </w:r>
            <w:r w:rsidRPr="001A7D94">
              <w:t xml:space="preserve"> </w:t>
            </w:r>
            <w:r w:rsidRPr="0029681F">
              <w:rPr>
                <w:lang w:val="el-GR"/>
              </w:rPr>
              <w:t>ἀφεστάναι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προσέρχεται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οὐδεὶς</w:t>
            </w:r>
            <w:r w:rsidRPr="001A7D94">
              <w:t xml:space="preserve"> </w:t>
            </w:r>
            <w:r w:rsidRPr="0029681F">
              <w:rPr>
                <w:lang w:val="el-GR"/>
              </w:rPr>
              <w:t>ἀγνοεῖ</w:t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30F6D452" w14:textId="4AF3556C" w:rsidR="0010669A" w:rsidRPr="001A7D94" w:rsidRDefault="0010669A" w:rsidP="0010669A">
            <w:pPr>
              <w:ind w:right="-108"/>
              <w:rPr>
                <w:rFonts w:cstheme="minorHAnsi"/>
              </w:rPr>
            </w:pPr>
          </w:p>
        </w:tc>
      </w:tr>
      <w:tr w:rsidR="0010669A" w:rsidRPr="001A7D94" w14:paraId="7499B1C6" w14:textId="77777777" w:rsidTr="00DF00F0">
        <w:tc>
          <w:tcPr>
            <w:tcW w:w="7225" w:type="dxa"/>
            <w:tcMar>
              <w:left w:w="28" w:type="dxa"/>
              <w:right w:w="28" w:type="dxa"/>
            </w:tcMar>
          </w:tcPr>
          <w:p w14:paraId="534293AB" w14:textId="34352064" w:rsidR="0010669A" w:rsidRPr="001A7D94" w:rsidRDefault="0010669A" w:rsidP="0010669A">
            <w:pPr>
              <w:rPr>
                <w:sz w:val="17"/>
                <w:szCs w:val="17"/>
              </w:rPr>
            </w:pPr>
            <w:r w:rsidRPr="001A7D94">
              <w:rPr>
                <w:sz w:val="17"/>
                <w:szCs w:val="17"/>
              </w:rPr>
              <w:t>[30]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μὴν</w:t>
            </w:r>
            <w:r w:rsidRPr="001A7D94">
              <w:t xml:space="preserve"> </w:t>
            </w:r>
            <w:r w:rsidRPr="0029681F">
              <w:rPr>
                <w:lang w:val="el-GR"/>
              </w:rPr>
              <w:t>κἀκεῖνό</w:t>
            </w:r>
            <w:r w:rsidRPr="001A7D94">
              <w:t xml:space="preserve"> </w:t>
            </w:r>
            <w:r w:rsidRPr="0029681F">
              <w:rPr>
                <w:lang w:val="el-GR"/>
              </w:rPr>
              <w:t>γ᾽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ἴστε</w:t>
            </w:r>
            <w:r w:rsidRPr="001A7D94">
              <w:t xml:space="preserve">, </w:t>
            </w:r>
            <w:r w:rsidRPr="0029681F">
              <w:rPr>
                <w:lang w:val="el-GR"/>
              </w:rPr>
              <w:t>ὅτι</w:t>
            </w:r>
            <w:r w:rsidRPr="001A7D94">
              <w:t xml:space="preserve"> </w:t>
            </w:r>
            <w:r w:rsidRPr="0029681F">
              <w:rPr>
                <w:lang w:val="el-GR"/>
              </w:rPr>
              <w:t>ὅσα</w:t>
            </w:r>
            <w:r w:rsidRPr="001A7D94">
              <w:t xml:space="preserve"> </w:t>
            </w:r>
            <w:r w:rsidRPr="0029681F">
              <w:rPr>
                <w:lang w:val="el-GR"/>
              </w:rPr>
              <w:t>μὲν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ὑπὸ</w:t>
            </w:r>
            <w:r w:rsidRPr="001A7D94">
              <w:t xml:space="preserve"> </w:t>
            </w:r>
            <w:r w:rsidRPr="0029681F">
              <w:rPr>
                <w:lang w:val="el-GR"/>
              </w:rPr>
              <w:t>Λακεδαιμονίων</w:t>
            </w:r>
            <w:r w:rsidRPr="001A7D94">
              <w:t xml:space="preserve"> </w:t>
            </w:r>
            <w:r w:rsidRPr="0029681F">
              <w:rPr>
                <w:lang w:val="el-GR"/>
              </w:rPr>
              <w:t>ἢ</w:t>
            </w:r>
            <w:r w:rsidRPr="001A7D94">
              <w:t xml:space="preserve"> </w:t>
            </w:r>
            <w:r w:rsidRPr="0029681F">
              <w:rPr>
                <w:lang w:val="el-GR"/>
              </w:rPr>
              <w:t>ὑφ᾽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ἡμῶν</w:t>
            </w:r>
            <w:r w:rsidRPr="001A7D94">
              <w:t xml:space="preserve"> </w:t>
            </w:r>
            <w:r w:rsidRPr="0029681F">
              <w:rPr>
                <w:lang w:val="el-GR"/>
              </w:rPr>
              <w:t>ἔπασχον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οἱ</w:t>
            </w:r>
            <w:r w:rsidRPr="001A7D94">
              <w:t xml:space="preserve"> </w:t>
            </w:r>
            <w:r w:rsidRPr="0029681F">
              <w:rPr>
                <w:lang w:val="el-GR"/>
              </w:rPr>
              <w:t>Ἕλληνες</w:t>
            </w:r>
            <w:r w:rsidRPr="001A7D94">
              <w:t xml:space="preserve">, </w:t>
            </w:r>
            <w:r w:rsidRPr="0029681F">
              <w:rPr>
                <w:lang w:val="el-GR"/>
              </w:rPr>
              <w:t>ἀλλ᾽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οὖν</w:t>
            </w:r>
            <w:r w:rsidRPr="001A7D94">
              <w:t xml:space="preserve"> </w:t>
            </w:r>
            <w:r w:rsidRPr="0029681F">
              <w:rPr>
                <w:lang w:val="el-GR"/>
              </w:rPr>
              <w:t>ὑπὸ</w:t>
            </w:r>
            <w:r w:rsidRPr="001A7D94">
              <w:t xml:space="preserve"> </w:t>
            </w:r>
            <w:r w:rsidRPr="0029681F">
              <w:rPr>
                <w:lang w:val="el-GR"/>
              </w:rPr>
              <w:t>γνησίων</w:t>
            </w:r>
            <w:r w:rsidRPr="001A7D94">
              <w:t xml:space="preserve"> </w:t>
            </w:r>
            <w:r w:rsidRPr="0029681F">
              <w:rPr>
                <w:lang w:val="el-GR"/>
              </w:rPr>
              <w:t>γ᾽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ὄντων</w:t>
            </w:r>
            <w:r w:rsidRPr="001A7D94">
              <w:t xml:space="preserve"> </w:t>
            </w:r>
            <w:r w:rsidRPr="0029681F">
              <w:rPr>
                <w:lang w:val="el-GR"/>
              </w:rPr>
              <w:t>τῆς</w:t>
            </w:r>
            <w:r w:rsidRPr="001A7D94">
              <w:t xml:space="preserve"> </w:t>
            </w:r>
            <w:r w:rsidRPr="0029681F">
              <w:rPr>
                <w:lang w:val="el-GR"/>
              </w:rPr>
              <w:t>Ἑλλάδος</w:t>
            </w:r>
            <w:r w:rsidRPr="001A7D94">
              <w:t xml:space="preserve"> </w:t>
            </w:r>
            <w:r w:rsidRPr="0029681F">
              <w:rPr>
                <w:lang w:val="el-GR"/>
              </w:rPr>
              <w:t>ἠδικοῦντο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τὸν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αὐτὸν</w:t>
            </w:r>
            <w:r w:rsidRPr="001A7D94">
              <w:t xml:space="preserve"> </w:t>
            </w:r>
            <w:r w:rsidRPr="0029681F">
              <w:rPr>
                <w:lang w:val="el-GR"/>
              </w:rPr>
              <w:t>τρόπον</w:t>
            </w:r>
            <w:r w:rsidRPr="001A7D94">
              <w:t xml:space="preserve"> </w:t>
            </w:r>
            <w:r w:rsidRPr="0029681F">
              <w:rPr>
                <w:lang w:val="el-GR"/>
              </w:rPr>
              <w:t>ἄν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τις</w:t>
            </w:r>
            <w:r w:rsidRPr="001A7D94">
              <w:t xml:space="preserve"> </w:t>
            </w:r>
            <w:r w:rsidRPr="0029681F">
              <w:rPr>
                <w:lang w:val="el-GR"/>
              </w:rPr>
              <w:t>ὑπέλαβεν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τοῦτο</w:t>
            </w:r>
            <w:r w:rsidRPr="001A7D94">
              <w:t xml:space="preserve">, </w:t>
            </w:r>
            <w:r w:rsidRPr="0029681F">
              <w:rPr>
                <w:lang w:val="el-GR"/>
              </w:rPr>
              <w:t>ὥσπερ</w:t>
            </w:r>
            <w:r w:rsidRPr="001A7D94">
              <w:t xml:space="preserve"> </w:t>
            </w:r>
            <w:r w:rsidRPr="0029681F">
              <w:rPr>
                <w:lang w:val="el-GR"/>
              </w:rPr>
              <w:t>ἂν</w:t>
            </w:r>
            <w:r w:rsidRPr="001A7D94">
              <w:t xml:space="preserve"> </w:t>
            </w:r>
            <w:r w:rsidRPr="0029681F">
              <w:rPr>
                <w:lang w:val="el-GR"/>
              </w:rPr>
              <w:t>εἰ</w:t>
            </w:r>
            <w:r w:rsidRPr="001A7D94">
              <w:t xml:space="preserve"> </w:t>
            </w:r>
            <w:r w:rsidRPr="0029681F">
              <w:rPr>
                <w:lang w:val="el-GR"/>
              </w:rPr>
              <w:t>υἱὸς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οὐσίᾳ</w:t>
            </w:r>
            <w:r w:rsidRPr="001A7D94">
              <w:t xml:space="preserve"> </w:t>
            </w:r>
            <w:r w:rsidRPr="0029681F">
              <w:rPr>
                <w:lang w:val="el-GR"/>
              </w:rPr>
              <w:t>πολλῇ</w:t>
            </w:r>
            <w:r w:rsidRPr="001A7D94">
              <w:t xml:space="preserve"> </w:t>
            </w:r>
            <w:r w:rsidRPr="0029681F">
              <w:rPr>
                <w:lang w:val="el-GR"/>
              </w:rPr>
              <w:t>γεγονὼς</w:t>
            </w:r>
            <w:r w:rsidRPr="001A7D94">
              <w:t xml:space="preserve"> </w:t>
            </w:r>
            <w:r w:rsidRPr="0029681F">
              <w:rPr>
                <w:lang w:val="el-GR"/>
              </w:rPr>
              <w:t>γνήσιος</w:t>
            </w:r>
            <w:r w:rsidRPr="001A7D94">
              <w:t xml:space="preserve"> </w:t>
            </w:r>
            <w:r w:rsidRPr="0029681F">
              <w:rPr>
                <w:lang w:val="el-GR"/>
              </w:rPr>
              <w:t>διῴκει</w:t>
            </w:r>
            <w:r w:rsidRPr="001A7D94">
              <w:t xml:space="preserve"> </w:t>
            </w:r>
            <w:r w:rsidRPr="0029681F">
              <w:rPr>
                <w:lang w:val="el-GR"/>
              </w:rPr>
              <w:t>τι</w:t>
            </w:r>
            <w:r w:rsidRPr="001A7D94">
              <w:t xml:space="preserve"> </w:t>
            </w:r>
            <w:r w:rsidRPr="0029681F">
              <w:rPr>
                <w:lang w:val="el-GR"/>
              </w:rPr>
              <w:t>μὴ</w:t>
            </w:r>
            <w:r w:rsidRPr="001A7D94">
              <w:t xml:space="preserve"> </w:t>
            </w:r>
            <w:r w:rsidRPr="0029681F">
              <w:rPr>
                <w:lang w:val="el-GR"/>
              </w:rPr>
              <w:t>καλῶς</w:t>
            </w:r>
            <w:r w:rsidRPr="001A7D94">
              <w:t xml:space="preserve"> </w:t>
            </w:r>
            <w:r w:rsidRPr="0029681F">
              <w:rPr>
                <w:lang w:val="el-GR"/>
              </w:rPr>
              <w:t>μηδ᾽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ὀρθῶς</w:t>
            </w:r>
            <w:r w:rsidRPr="001A7D94">
              <w:t xml:space="preserve">, </w:t>
            </w:r>
            <w:r w:rsidRPr="0029681F">
              <w:rPr>
                <w:lang w:val="el-GR"/>
              </w:rPr>
              <w:t>κατ᾽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αὐτὸ</w:t>
            </w:r>
            <w:r w:rsidRPr="001A7D94">
              <w:t xml:space="preserve"> </w:t>
            </w:r>
            <w:r w:rsidRPr="0029681F">
              <w:rPr>
                <w:lang w:val="el-GR"/>
              </w:rPr>
              <w:t>μὲν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τοῦτ᾽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ἄξιον</w:t>
            </w:r>
            <w:r w:rsidRPr="001A7D94">
              <w:t xml:space="preserve"> </w:t>
            </w:r>
            <w:r w:rsidRPr="0029681F">
              <w:rPr>
                <w:lang w:val="el-GR"/>
              </w:rPr>
              <w:t>μέμψεως</w:t>
            </w:r>
            <w:r w:rsidRPr="001A7D94">
              <w:t xml:space="preserve"> </w:t>
            </w:r>
            <w:r w:rsidRPr="0029681F">
              <w:rPr>
                <w:lang w:val="el-GR"/>
              </w:rPr>
              <w:t>εἶναι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καὶ</w:t>
            </w:r>
            <w:r w:rsidRPr="001A7D94">
              <w:t xml:space="preserve"> </w:t>
            </w:r>
            <w:r w:rsidRPr="0029681F">
              <w:rPr>
                <w:lang w:val="el-GR"/>
              </w:rPr>
              <w:t>κατηγορίας</w:t>
            </w:r>
            <w:r w:rsidRPr="001A7D94">
              <w:t xml:space="preserve">, </w:t>
            </w:r>
            <w:r>
              <w:rPr>
                <w:rStyle w:val="Funotenzeichen"/>
                <w:lang w:val="el-GR"/>
              </w:rPr>
              <w:footnoteReference w:id="16"/>
            </w:r>
            <w:r w:rsidRPr="0029681F">
              <w:rPr>
                <w:lang w:val="el-GR"/>
              </w:rPr>
              <w:t>ὡς</w:t>
            </w:r>
            <w:r w:rsidRPr="001A7D94">
              <w:t xml:space="preserve"> </w:t>
            </w:r>
            <w:r w:rsidRPr="0029681F">
              <w:rPr>
                <w:lang w:val="el-GR"/>
              </w:rPr>
              <w:t>δ᾽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προσήκων</w:t>
            </w:r>
            <w:r w:rsidRPr="001A7D94">
              <w:t xml:space="preserve"> </w:t>
            </w:r>
            <w:r w:rsidRPr="0029681F">
              <w:rPr>
                <w:lang w:val="el-GR"/>
              </w:rPr>
              <w:t>ἢ</w:t>
            </w:r>
            <w:r w:rsidRPr="001A7D94">
              <w:t xml:space="preserve"> </w:t>
            </w:r>
            <w:r w:rsidRPr="0029681F">
              <w:rPr>
                <w:lang w:val="el-GR"/>
              </w:rPr>
              <w:t>ὡς</w:t>
            </w:r>
            <w:r w:rsidRPr="001A7D94">
              <w:t xml:space="preserve"> </w:t>
            </w:r>
            <w:r w:rsidRPr="0029681F">
              <w:rPr>
                <w:lang w:val="el-GR"/>
              </w:rPr>
              <w:t>οὐ</w:t>
            </w:r>
            <w:r w:rsidRPr="001A7D94">
              <w:t xml:space="preserve"> </w:t>
            </w:r>
            <w:r w:rsidRPr="0029681F">
              <w:rPr>
                <w:lang w:val="el-GR"/>
              </w:rPr>
              <w:t>κληρονόμος</w:t>
            </w:r>
            <w:r w:rsidRPr="001A7D94">
              <w:t xml:space="preserve"> </w:t>
            </w:r>
            <w:r w:rsidRPr="0029681F">
              <w:rPr>
                <w:lang w:val="el-GR"/>
              </w:rPr>
              <w:t>τούτων</w:t>
            </w:r>
            <w:r w:rsidRPr="001A7D94">
              <w:t xml:space="preserve"> </w:t>
            </w:r>
            <w:r w:rsidRPr="0029681F">
              <w:rPr>
                <w:lang w:val="el-GR"/>
              </w:rPr>
              <w:t>ὢν</w:t>
            </w:r>
            <w:r w:rsidRPr="001A7D94">
              <w:t xml:space="preserve"> </w:t>
            </w:r>
            <w:r w:rsidRPr="0029681F">
              <w:rPr>
                <w:lang w:val="el-GR"/>
              </w:rPr>
              <w:t>ταῦτ᾽</w:t>
            </w:r>
            <w:r w:rsidRPr="001A7D94">
              <w:t xml:space="preserve"> </w:t>
            </w:r>
            <w:r w:rsidRPr="0029681F">
              <w:rPr>
                <w:lang w:val="el-GR"/>
              </w:rPr>
              <w:t>ἐποίει</w:t>
            </w:r>
            <w:r w:rsidRPr="001A7D94">
              <w:t xml:space="preserve">, </w:t>
            </w:r>
            <w:r w:rsidRPr="0029681F">
              <w:rPr>
                <w:lang w:val="el-GR"/>
              </w:rPr>
              <w:t>οὐκ</w:t>
            </w:r>
            <w:r w:rsidRPr="001A7D94">
              <w:t xml:space="preserve"> </w:t>
            </w:r>
            <w:r w:rsidRPr="0029681F">
              <w:rPr>
                <w:lang w:val="el-GR"/>
              </w:rPr>
              <w:t>ἐνεῖναι</w:t>
            </w:r>
            <w:r w:rsidRPr="001A7D94">
              <w:t xml:space="preserve"> </w:t>
            </w:r>
            <w:r w:rsidRPr="0029681F">
              <w:rPr>
                <w:lang w:val="el-GR"/>
              </w:rPr>
              <w:t>λέγειν</w:t>
            </w:r>
            <w:r w:rsidRPr="001A7D94">
              <w:t xml:space="preserve">. </w:t>
            </w:r>
          </w:p>
        </w:tc>
        <w:tc>
          <w:tcPr>
            <w:tcW w:w="8505" w:type="dxa"/>
            <w:tcMar>
              <w:left w:w="28" w:type="dxa"/>
              <w:right w:w="28" w:type="dxa"/>
            </w:tcMar>
          </w:tcPr>
          <w:p w14:paraId="16AC8C93" w14:textId="7420DB29" w:rsidR="0010669A" w:rsidRPr="001A7D94" w:rsidRDefault="0010669A" w:rsidP="0010669A">
            <w:pPr>
              <w:ind w:right="-108"/>
              <w:rPr>
                <w:rFonts w:cstheme="minorHAnsi"/>
              </w:rPr>
            </w:pPr>
          </w:p>
        </w:tc>
      </w:tr>
    </w:tbl>
    <w:p w14:paraId="051515DE" w14:textId="2EE804F1" w:rsidR="005F72D6" w:rsidRPr="001A7D94" w:rsidRDefault="00000000" w:rsidP="001A7D94"/>
    <w:sectPr w:rsidR="005F72D6" w:rsidRPr="001A7D94" w:rsidSect="001A7D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D2DD" w14:textId="77777777" w:rsidR="00F00719" w:rsidRDefault="00F00719" w:rsidP="001A7D94">
      <w:pPr>
        <w:spacing w:after="0" w:line="240" w:lineRule="auto"/>
      </w:pPr>
      <w:r>
        <w:separator/>
      </w:r>
    </w:p>
  </w:endnote>
  <w:endnote w:type="continuationSeparator" w:id="0">
    <w:p w14:paraId="4CCF10C7" w14:textId="77777777" w:rsidR="00F00719" w:rsidRDefault="00F00719" w:rsidP="001A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97E9" w14:textId="77777777" w:rsidR="00F00719" w:rsidRDefault="00F00719" w:rsidP="001A7D94">
      <w:pPr>
        <w:spacing w:after="0" w:line="240" w:lineRule="auto"/>
      </w:pPr>
      <w:r>
        <w:separator/>
      </w:r>
    </w:p>
  </w:footnote>
  <w:footnote w:type="continuationSeparator" w:id="0">
    <w:p w14:paraId="6EB73F54" w14:textId="77777777" w:rsidR="00F00719" w:rsidRDefault="00F00719" w:rsidP="001A7D94">
      <w:pPr>
        <w:spacing w:after="0" w:line="240" w:lineRule="auto"/>
      </w:pPr>
      <w:r>
        <w:continuationSeparator/>
      </w:r>
    </w:p>
  </w:footnote>
  <w:footnote w:id="1">
    <w:p w14:paraId="7E7C75BD" w14:textId="77777777" w:rsidR="0010669A" w:rsidRPr="00447F73" w:rsidRDefault="001066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μέντοι</w:t>
      </w:r>
      <w:r>
        <w:t xml:space="preserve"> „freilich“ anstelle von </w:t>
      </w:r>
      <w:r>
        <w:rPr>
          <w:lang w:val="el-GR"/>
        </w:rPr>
        <w:t>δέ</w:t>
      </w:r>
      <w:r w:rsidRPr="00447F73">
        <w:t xml:space="preserve">, </w:t>
      </w:r>
      <w:r>
        <w:t xml:space="preserve">aber stärker </w:t>
      </w:r>
    </w:p>
  </w:footnote>
  <w:footnote w:id="2">
    <w:p w14:paraId="07BDE27A" w14:textId="77777777" w:rsidR="0010669A" w:rsidRPr="00447F73" w:rsidRDefault="001066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προσέχητε</w:t>
      </w:r>
      <w:r>
        <w:t xml:space="preserve"> erg. </w:t>
      </w:r>
      <w:r>
        <w:rPr>
          <w:lang w:val="el-GR"/>
        </w:rPr>
        <w:t>νοῦν</w:t>
      </w:r>
    </w:p>
  </w:footnote>
  <w:footnote w:id="3">
    <w:p w14:paraId="4745F8FB" w14:textId="77777777" w:rsidR="0010669A" w:rsidRPr="005221AB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ἢ</w:t>
      </w:r>
      <w:r w:rsidRPr="005221AB">
        <w:t xml:space="preserve"> </w:t>
      </w:r>
      <w:r w:rsidRPr="0029681F">
        <w:rPr>
          <w:lang w:val="el-GR"/>
        </w:rPr>
        <w:t>νῦν</w:t>
      </w:r>
      <w:r>
        <w:t xml:space="preserve"> erg. </w:t>
      </w:r>
      <w:r>
        <w:rPr>
          <w:lang w:val="el-GR"/>
        </w:rPr>
        <w:t>παράδοξον</w:t>
      </w:r>
      <w:r w:rsidRPr="005221AB">
        <w:t xml:space="preserve"> </w:t>
      </w:r>
      <w:r>
        <w:rPr>
          <w:lang w:val="el-GR"/>
        </w:rPr>
        <w:t>ἐστίν</w:t>
      </w:r>
      <w:r w:rsidRPr="005221AB">
        <w:t xml:space="preserve"> </w:t>
      </w:r>
    </w:p>
  </w:footnote>
  <w:footnote w:id="4">
    <w:p w14:paraId="626D9F5B" w14:textId="77777777" w:rsidR="0010669A" w:rsidRPr="00B962B5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ὅθ᾽</w:t>
      </w:r>
      <w:r w:rsidRPr="00D13AA5">
        <w:t xml:space="preserve"> = </w:t>
      </w:r>
      <w:r>
        <w:rPr>
          <w:lang w:val="el-GR"/>
        </w:rPr>
        <w:t>ὅτε</w:t>
      </w:r>
    </w:p>
  </w:footnote>
  <w:footnote w:id="5">
    <w:p w14:paraId="22874EA9" w14:textId="77777777" w:rsidR="0010669A" w:rsidRPr="000E3579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αὐτῷ</w:t>
      </w:r>
      <w:r>
        <w:t xml:space="preserve"> zu </w:t>
      </w:r>
      <w:r w:rsidRPr="0029681F">
        <w:rPr>
          <w:lang w:val="el-GR"/>
        </w:rPr>
        <w:t>συγκεχωρηκότας</w:t>
      </w:r>
    </w:p>
  </w:footnote>
  <w:footnote w:id="6">
    <w:p w14:paraId="3BE172C0" w14:textId="77777777" w:rsidR="0010669A" w:rsidRPr="00F86E82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lies </w:t>
      </w:r>
      <w:r>
        <w:rPr>
          <w:lang w:val="el-GR"/>
        </w:rPr>
        <w:t>τοῦτο</w:t>
      </w:r>
      <w:r w:rsidRPr="0043417C">
        <w:t xml:space="preserve"> </w:t>
      </w:r>
      <w:r w:rsidRPr="0029681F">
        <w:rPr>
          <w:lang w:val="el-GR"/>
        </w:rPr>
        <w:t>ὑπὲρ</w:t>
      </w:r>
      <w:r w:rsidRPr="0043417C">
        <w:t xml:space="preserve"> </w:t>
      </w:r>
      <w:r w:rsidRPr="0029681F">
        <w:rPr>
          <w:lang w:val="el-GR"/>
        </w:rPr>
        <w:t>οὗ</w:t>
      </w:r>
    </w:p>
  </w:footnote>
  <w:footnote w:id="7">
    <w:p w14:paraId="52FC02EB" w14:textId="77777777" w:rsidR="0010669A" w:rsidRPr="00D26887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καθ᾽</w:t>
      </w:r>
      <w:r w:rsidRPr="00D26887">
        <w:t xml:space="preserve"> </w:t>
      </w:r>
      <w:r w:rsidRPr="0029681F">
        <w:rPr>
          <w:lang w:val="el-GR"/>
        </w:rPr>
        <w:t>ἕν</w:t>
      </w:r>
      <w:r>
        <w:rPr>
          <w:lang w:val="el-GR"/>
        </w:rPr>
        <w:t>α</w:t>
      </w:r>
      <w:r w:rsidRPr="00D26887">
        <w:t xml:space="preserve"> </w:t>
      </w:r>
      <w:r>
        <w:t>je einen = einen nach dem andern</w:t>
      </w:r>
    </w:p>
  </w:footnote>
  <w:footnote w:id="8">
    <w:p w14:paraId="2908E30A" w14:textId="77777777" w:rsidR="0010669A" w:rsidRPr="00B550EB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ἑβδομήκοντ᾽</w:t>
      </w:r>
      <w:r w:rsidRPr="00B550EB">
        <w:t xml:space="preserve"> </w:t>
      </w:r>
      <w:r w:rsidRPr="0029681F">
        <w:rPr>
          <w:lang w:val="el-GR"/>
        </w:rPr>
        <w:t>ἔτη</w:t>
      </w:r>
      <w:r w:rsidRPr="00B550EB">
        <w:t xml:space="preserve"> </w:t>
      </w:r>
      <w:r w:rsidRPr="0029681F">
        <w:rPr>
          <w:lang w:val="el-GR"/>
        </w:rPr>
        <w:t>καὶ</w:t>
      </w:r>
      <w:r w:rsidRPr="00B550EB">
        <w:t xml:space="preserve"> </w:t>
      </w:r>
      <w:r w:rsidRPr="0029681F">
        <w:rPr>
          <w:lang w:val="el-GR"/>
        </w:rPr>
        <w:t>τρία</w:t>
      </w:r>
      <w:r w:rsidRPr="00B550EB">
        <w:t xml:space="preserve"> </w:t>
      </w:r>
      <w:r>
        <w:t>von 478 (Anerkennung der Hegemonie Athens nach der Schlacht bei Plataiai 479) bis 405 (Sieg der Spartaner bei Aigos Potamoi auf der Chersones)</w:t>
      </w:r>
    </w:p>
  </w:footnote>
  <w:footnote w:id="9">
    <w:p w14:paraId="54FABF2A" w14:textId="77777777" w:rsidR="0010669A" w:rsidRPr="00D2785D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τριάκονθ᾽</w:t>
      </w:r>
      <w:r w:rsidRPr="00D2785D">
        <w:t xml:space="preserve"> </w:t>
      </w:r>
      <w:r w:rsidRPr="0029681F">
        <w:rPr>
          <w:lang w:val="el-GR"/>
        </w:rPr>
        <w:t>ἑνὸς</w:t>
      </w:r>
      <w:r w:rsidRPr="00D2785D">
        <w:t xml:space="preserve"> </w:t>
      </w:r>
      <w:r w:rsidRPr="0029681F">
        <w:rPr>
          <w:lang w:val="el-GR"/>
        </w:rPr>
        <w:t>δέοντα</w:t>
      </w:r>
      <w:r>
        <w:t xml:space="preserve"> von 405 bis 376 (Athener unter Chabrias besiegen die spartanische Flotte bei Naxo).</w:t>
      </w:r>
    </w:p>
  </w:footnote>
  <w:footnote w:id="10">
    <w:p w14:paraId="32848181" w14:textId="77777777" w:rsidR="0010669A" w:rsidRPr="00D2785D" w:rsidRDefault="0010669A" w:rsidP="001A7D94">
      <w:pPr>
        <w:pStyle w:val="Funotentext"/>
      </w:pPr>
      <w:r>
        <w:rPr>
          <w:rStyle w:val="Funotenzeichen"/>
        </w:rPr>
        <w:footnoteRef/>
      </w:r>
      <w:r w:rsidRPr="00D2785D">
        <w:t xml:space="preserve"> </w:t>
      </w:r>
      <w:r w:rsidRPr="0029681F">
        <w:rPr>
          <w:lang w:val="el-GR"/>
        </w:rPr>
        <w:t>τοὺς</w:t>
      </w:r>
      <w:r w:rsidRPr="00D2785D">
        <w:t xml:space="preserve"> </w:t>
      </w:r>
      <w:r w:rsidRPr="0029681F">
        <w:rPr>
          <w:lang w:val="el-GR"/>
        </w:rPr>
        <w:t>τελευταίους</w:t>
      </w:r>
      <w:r w:rsidRPr="00D2785D">
        <w:t xml:space="preserve"> </w:t>
      </w:r>
      <w:r w:rsidRPr="0029681F">
        <w:rPr>
          <w:lang w:val="el-GR"/>
        </w:rPr>
        <w:t>χρόνους</w:t>
      </w:r>
      <w:r w:rsidRPr="00D2785D">
        <w:t xml:space="preserve"> </w:t>
      </w:r>
      <w:r>
        <w:t>seit</w:t>
      </w:r>
      <w:r w:rsidRPr="00D2785D">
        <w:t xml:space="preserve"> 371 (</w:t>
      </w:r>
      <w:r>
        <w:t>Epaminondas besiegt</w:t>
      </w:r>
      <w:r w:rsidRPr="00D2785D">
        <w:t xml:space="preserve"> </w:t>
      </w:r>
      <w:r>
        <w:t>bei</w:t>
      </w:r>
      <w:r w:rsidRPr="00D2785D">
        <w:t xml:space="preserve"> </w:t>
      </w:r>
      <w:r>
        <w:t>Leuktra die Spartaner unter Pelopidas) [bis Philipps Sieg bei Chaironeia 336].</w:t>
      </w:r>
    </w:p>
  </w:footnote>
  <w:footnote w:id="11">
    <w:p w14:paraId="20690423" w14:textId="77777777" w:rsidR="0010669A" w:rsidRPr="002E1B37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894A6E">
          <w:rPr>
            <w:rStyle w:val="Hyperlink"/>
            <w:lang w:val="el-GR"/>
          </w:rPr>
          <w:t>ἡ</w:t>
        </w:r>
        <w:r w:rsidRPr="002E1B37">
          <w:rPr>
            <w:rStyle w:val="Hyperlink"/>
          </w:rPr>
          <w:t xml:space="preserve"> </w:t>
        </w:r>
        <w:r w:rsidRPr="00894A6E">
          <w:rPr>
            <w:rStyle w:val="Hyperlink"/>
            <w:lang w:val="el-GR"/>
          </w:rPr>
          <w:t>ἐν</w:t>
        </w:r>
        <w:r w:rsidRPr="002E1B37">
          <w:rPr>
            <w:rStyle w:val="Hyperlink"/>
          </w:rPr>
          <w:t xml:space="preserve"> </w:t>
        </w:r>
        <w:r w:rsidRPr="00894A6E">
          <w:rPr>
            <w:rStyle w:val="Hyperlink"/>
            <w:lang w:val="el-GR"/>
          </w:rPr>
          <w:t>Λεύκτροις</w:t>
        </w:r>
        <w:r w:rsidRPr="002E1B37">
          <w:rPr>
            <w:rStyle w:val="Hyperlink"/>
          </w:rPr>
          <w:t xml:space="preserve"> </w:t>
        </w:r>
        <w:r w:rsidRPr="00894A6E">
          <w:rPr>
            <w:rStyle w:val="Hyperlink"/>
            <w:lang w:val="el-GR"/>
          </w:rPr>
          <w:t>μάχη</w:t>
        </w:r>
      </w:hyperlink>
      <w:r w:rsidRPr="002E1B37">
        <w:t xml:space="preserve"> </w:t>
      </w:r>
    </w:p>
  </w:footnote>
  <w:footnote w:id="12">
    <w:p w14:paraId="77D0771F" w14:textId="77777777" w:rsidR="0010669A" w:rsidRPr="00C413C7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τοῦτο</w:t>
      </w:r>
      <w:r w:rsidRPr="00C413C7">
        <w:t xml:space="preserve"> </w:t>
      </w:r>
      <w:r w:rsidRPr="0029681F">
        <w:rPr>
          <w:lang w:val="el-GR"/>
        </w:rPr>
        <w:t>μὲν</w:t>
      </w:r>
      <w:r>
        <w:t xml:space="preserve"> „zum einen“ wird anakoluthisch aufgenommen von </w:t>
      </w:r>
      <w:r>
        <w:rPr>
          <w:lang w:val="el-GR"/>
        </w:rPr>
        <w:t>καὶ</w:t>
      </w:r>
      <w:r w:rsidRPr="00C413C7">
        <w:t xml:space="preserve"> </w:t>
      </w:r>
      <w:r>
        <w:rPr>
          <w:lang w:val="el-GR"/>
        </w:rPr>
        <w:t>πάλιν</w:t>
      </w:r>
      <w:r w:rsidRPr="00C413C7">
        <w:t xml:space="preserve"> </w:t>
      </w:r>
      <w:r>
        <w:t>„und andererseits“</w:t>
      </w:r>
    </w:p>
  </w:footnote>
  <w:footnote w:id="13">
    <w:p w14:paraId="1376DA3F" w14:textId="77777777" w:rsidR="0010669A" w:rsidRPr="00B079C0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ἐκεῖνα</w:t>
      </w:r>
      <w:r>
        <w:t xml:space="preserve"> erg. </w:t>
      </w:r>
      <w:r>
        <w:rPr>
          <w:lang w:val="el-GR"/>
        </w:rPr>
        <w:t>ἐστίν</w:t>
      </w:r>
    </w:p>
  </w:footnote>
  <w:footnote w:id="14">
    <w:p w14:paraId="519F71A3" w14:textId="77777777" w:rsidR="0010669A" w:rsidRPr="00245EFE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ὃν</w:t>
      </w:r>
      <w:r>
        <w:t xml:space="preserve"> Akk. der Ausdehnung „in der“</w:t>
      </w:r>
    </w:p>
  </w:footnote>
  <w:footnote w:id="15">
    <w:p w14:paraId="6CD75061" w14:textId="77777777" w:rsidR="0010669A" w:rsidRPr="0034652C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ἐπεί</w:t>
      </w:r>
      <w:r>
        <w:t xml:space="preserve"> hier adversativ oder konzessiv</w:t>
      </w:r>
    </w:p>
  </w:footnote>
  <w:footnote w:id="16">
    <w:p w14:paraId="1B339519" w14:textId="77777777" w:rsidR="0010669A" w:rsidRPr="00203D12" w:rsidRDefault="0010669A" w:rsidP="001A7D94">
      <w:pPr>
        <w:pStyle w:val="Funotentext"/>
      </w:pPr>
      <w:r>
        <w:rPr>
          <w:rStyle w:val="Funotenzeichen"/>
        </w:rPr>
        <w:footnoteRef/>
      </w:r>
      <w:r>
        <w:t xml:space="preserve"> ordne so: </w:t>
      </w:r>
      <w:r w:rsidRPr="0029681F">
        <w:rPr>
          <w:lang w:val="el-GR"/>
        </w:rPr>
        <w:t>οὐ</w:t>
      </w:r>
      <w:r>
        <w:t xml:space="preserve"> </w:t>
      </w:r>
      <w:r>
        <w:rPr>
          <w:lang w:val="el-GR"/>
        </w:rPr>
        <w:t>δὲ</w:t>
      </w:r>
      <w:r w:rsidRPr="002E1B37">
        <w:t xml:space="preserve"> </w:t>
      </w:r>
      <w:r w:rsidRPr="0029681F">
        <w:rPr>
          <w:lang w:val="el-GR"/>
        </w:rPr>
        <w:t>ἐνεῖναι</w:t>
      </w:r>
      <w:r w:rsidRPr="002E1B37">
        <w:t xml:space="preserve"> </w:t>
      </w:r>
      <w:r w:rsidRPr="0029681F">
        <w:rPr>
          <w:lang w:val="el-GR"/>
        </w:rPr>
        <w:t>λέγειν</w:t>
      </w:r>
      <w:r w:rsidRPr="00203D12">
        <w:t xml:space="preserve"> </w:t>
      </w:r>
      <w:r w:rsidRPr="0029681F">
        <w:rPr>
          <w:lang w:val="el-GR"/>
        </w:rPr>
        <w:t>ὡς</w:t>
      </w:r>
      <w:r w:rsidRPr="002E1B37">
        <w:t xml:space="preserve"> </w:t>
      </w:r>
      <w:r w:rsidRPr="0029681F">
        <w:rPr>
          <w:lang w:val="el-GR"/>
        </w:rPr>
        <w:t>οὐ</w:t>
      </w:r>
      <w:r w:rsidRPr="00203D12">
        <w:t xml:space="preserve"> ... </w:t>
      </w:r>
      <w:r>
        <w:t>–</w:t>
      </w:r>
      <w:r w:rsidRPr="00203D12">
        <w:t xml:space="preserve"> </w:t>
      </w:r>
      <w:r>
        <w:t xml:space="preserve">das Ganze wie </w:t>
      </w:r>
      <w:r w:rsidRPr="0029681F">
        <w:rPr>
          <w:lang w:val="el-GR"/>
        </w:rPr>
        <w:t>ἄξιον</w:t>
      </w:r>
      <w:r w:rsidRPr="002E1B37">
        <w:t xml:space="preserve"> </w:t>
      </w:r>
      <w:r w:rsidRPr="0029681F">
        <w:rPr>
          <w:lang w:val="el-GR"/>
        </w:rPr>
        <w:t>μέμψεως</w:t>
      </w:r>
      <w:r w:rsidRPr="002E1B37">
        <w:t xml:space="preserve"> </w:t>
      </w:r>
      <w:r w:rsidRPr="0029681F">
        <w:rPr>
          <w:lang w:val="el-GR"/>
        </w:rPr>
        <w:t>εἶναι</w:t>
      </w:r>
      <w:r>
        <w:t xml:space="preserve"> abhängig von </w:t>
      </w:r>
      <w:r w:rsidRPr="0029681F">
        <w:rPr>
          <w:lang w:val="el-GR"/>
        </w:rPr>
        <w:t>ἄν</w:t>
      </w:r>
      <w:r w:rsidRPr="002E1B37">
        <w:t xml:space="preserve"> </w:t>
      </w:r>
      <w:r w:rsidRPr="0029681F">
        <w:rPr>
          <w:lang w:val="el-GR"/>
        </w:rPr>
        <w:t>τις</w:t>
      </w:r>
      <w:r w:rsidRPr="002E1B37">
        <w:t xml:space="preserve"> </w:t>
      </w:r>
      <w:r w:rsidRPr="0029681F">
        <w:rPr>
          <w:lang w:val="el-GR"/>
        </w:rPr>
        <w:t>ὑπέλαβεν</w:t>
      </w:r>
      <w:r w:rsidRPr="002E1B37">
        <w:t xml:space="preserve"> </w:t>
      </w:r>
      <w:r w:rsidRPr="0029681F">
        <w:rPr>
          <w:lang w:val="el-GR"/>
        </w:rPr>
        <w:t>τοῦτο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B1"/>
    <w:rsid w:val="0010669A"/>
    <w:rsid w:val="001A7D94"/>
    <w:rsid w:val="001C6B15"/>
    <w:rsid w:val="00431D0A"/>
    <w:rsid w:val="00763112"/>
    <w:rsid w:val="00D16A6A"/>
    <w:rsid w:val="00F00719"/>
    <w:rsid w:val="00F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5ED1"/>
  <w15:chartTrackingRefBased/>
  <w15:docId w15:val="{C8813ECA-C829-49A4-8907-73EADBB4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D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A7D9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A7D9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A7D9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A7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usokrates.de/fileadmin/Griechisch/Projekt/pDem9.Hist.Situatio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3</cp:revision>
  <dcterms:created xsi:type="dcterms:W3CDTF">2022-09-23T21:59:00Z</dcterms:created>
  <dcterms:modified xsi:type="dcterms:W3CDTF">2022-10-04T08:36:00Z</dcterms:modified>
</cp:coreProperties>
</file>