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C007" w14:textId="74960A82" w:rsidR="00A722A2" w:rsidRPr="00A722A2" w:rsidRDefault="00A722A2" w:rsidP="00A722A2">
      <w:pPr>
        <w:jc w:val="center"/>
        <w:rPr>
          <w:sz w:val="40"/>
          <w:szCs w:val="40"/>
          <w:lang w:val="el-GR"/>
        </w:rPr>
      </w:pPr>
      <w:r w:rsidRPr="00A722A2">
        <w:rPr>
          <w:sz w:val="40"/>
          <w:szCs w:val="40"/>
        </w:rPr>
        <w:t xml:space="preserve">pEpikur </w:t>
      </w:r>
      <w:r w:rsidRPr="00A722A2">
        <w:rPr>
          <w:sz w:val="40"/>
          <w:szCs w:val="40"/>
          <w:lang w:val="el-GR"/>
        </w:rPr>
        <w:t>κύριαι δόξαι</w:t>
      </w:r>
    </w:p>
    <w:p w14:paraId="597316E3" w14:textId="77777777" w:rsidR="00A722A2" w:rsidRDefault="00A722A2"/>
    <w:tbl>
      <w:tblPr>
        <w:tblStyle w:val="Tabellenraster"/>
        <w:tblW w:w="14744" w:type="dxa"/>
        <w:tblLook w:val="04A0" w:firstRow="1" w:lastRow="0" w:firstColumn="1" w:lastColumn="0" w:noHBand="0" w:noVBand="1"/>
      </w:tblPr>
      <w:tblGrid>
        <w:gridCol w:w="4962"/>
        <w:gridCol w:w="4962"/>
        <w:gridCol w:w="4820"/>
      </w:tblGrid>
      <w:tr w:rsidR="00A722A2" w:rsidRPr="00C07A7E" w14:paraId="5BAF1FF2" w14:textId="383D5CEA" w:rsidTr="00A722A2">
        <w:trPr>
          <w:gridAfter w:val="1"/>
          <w:wAfter w:w="4820" w:type="dxa"/>
        </w:trPr>
        <w:tc>
          <w:tcPr>
            <w:tcW w:w="4962" w:type="dxa"/>
          </w:tcPr>
          <w:p w14:paraId="3898DEFB" w14:textId="3622CD5A" w:rsidR="00A722A2" w:rsidRPr="00C07A7E" w:rsidRDefault="00A722A2" w:rsidP="00610FD0">
            <w:pPr>
              <w:pStyle w:val="StandardWeb"/>
              <w:rPr>
                <w:rFonts w:ascii="Alkaios" w:hAnsi="Alkaios"/>
              </w:rPr>
            </w:pPr>
            <w:r w:rsidRPr="00C07A7E">
              <w:rPr>
                <w:rFonts w:ascii="Alkaios" w:hAnsi="Alkaios"/>
              </w:rPr>
              <w:t xml:space="preserve">Καὶ φέρε οὖν δὴ νῦν τὸν κολοφῶνα (ὡς ἂν εἴποι τις) ἐπιθῶμεν καὶ τοῦ παντὸς συγγράμματος καὶ τοῦ βίου τοῦ φιλοσόφου, τὰς Κυρίας αὐτοῦ δόξας παραθέμενοι καὶ ταύταις τὸ πᾶν σύγγραμμα κατακλείσαντες, τέλει χρησάμενοι τῇ τῆς εὐδαιμονίας ἀρχῇ. </w:t>
            </w:r>
          </w:p>
        </w:tc>
        <w:tc>
          <w:tcPr>
            <w:tcW w:w="4962" w:type="dxa"/>
          </w:tcPr>
          <w:p w14:paraId="25224850" w14:textId="77777777" w:rsidR="00A722A2" w:rsidRPr="00C07A7E" w:rsidRDefault="00A722A2" w:rsidP="00610FD0">
            <w:pPr>
              <w:pStyle w:val="StandardWeb"/>
              <w:rPr>
                <w:rFonts w:ascii="Alkaios" w:hAnsi="Alkaios"/>
              </w:rPr>
            </w:pPr>
          </w:p>
        </w:tc>
      </w:tr>
      <w:tr w:rsidR="00A722A2" w:rsidRPr="00C07A7E" w14:paraId="2CF3E652" w14:textId="2F3CFBFB" w:rsidTr="00A722A2">
        <w:trPr>
          <w:gridAfter w:val="1"/>
          <w:wAfter w:w="4820" w:type="dxa"/>
        </w:trPr>
        <w:tc>
          <w:tcPr>
            <w:tcW w:w="4962" w:type="dxa"/>
          </w:tcPr>
          <w:p w14:paraId="68695BCE" w14:textId="77777777" w:rsidR="00A722A2" w:rsidRPr="00C07A7E" w:rsidRDefault="00A722A2" w:rsidP="00610FD0">
            <w:pPr>
              <w:pStyle w:val="StandardWeb"/>
              <w:rPr>
                <w:rFonts w:ascii="Alkaios" w:hAnsi="Alkaios"/>
              </w:rPr>
            </w:pPr>
            <w:hyperlink r:id="rId7" w:anchor="p139" w:tooltip="Βίοι φιλοσόφων/Ι" w:history="1">
              <w:r w:rsidRPr="00C07A7E">
                <w:rPr>
                  <w:rStyle w:val="Hyperlink"/>
                  <w:rFonts w:ascii="Alkaios" w:hAnsi="Alkaios"/>
                </w:rPr>
                <w:t>139</w:t>
              </w:r>
            </w:hyperlink>
            <w:r w:rsidRPr="00C07A7E">
              <w:rPr>
                <w:rFonts w:ascii="Alkaios" w:hAnsi="Alkaios"/>
              </w:rPr>
              <w:t xml:space="preserve"> I. Τὸ μακάριον καὶ ἄφθαρτον οὔτε αὐτὸ πράγματα ἔχει οὔτε ἄλλῳ παρέχει, ὥστε οὔτε ὀργαῖς οὔτε χάρισι συνέχεται· ἐν ἀσθενεῖ γὰρ πᾶν τὸ τοιοῦτον. [ἐν ἄλλοις δέ φησι</w:t>
            </w:r>
            <w:r w:rsidRPr="00C07A7E">
              <w:rPr>
                <w:rStyle w:val="Funotenzeichen"/>
                <w:rFonts w:ascii="Alkaios" w:hAnsi="Alkaios"/>
              </w:rPr>
              <w:footnoteReference w:id="1"/>
            </w:r>
            <w:r w:rsidRPr="00C07A7E">
              <w:rPr>
                <w:rFonts w:ascii="Alkaios" w:hAnsi="Alkaios"/>
              </w:rPr>
              <w:t xml:space="preserve"> τοὺς θεοὺς λόγῳ θεωρητούς, οὓς μὲν κατ' ἀριθμὸν ὑφεστῶτας, οὓς δὲ καθ' ὁμοείδειαν ἐκ τῆς συνεχοῦς ἐπιρρύσεως τῶν ὁμοίων εἰδώλων ἐπὶ τὸ αὐτὸ ἀποτετελεσμένων, ἀνθρωποειδεῖς.] </w:t>
            </w:r>
          </w:p>
        </w:tc>
        <w:tc>
          <w:tcPr>
            <w:tcW w:w="4962" w:type="dxa"/>
          </w:tcPr>
          <w:p w14:paraId="519B9AA2" w14:textId="77777777" w:rsidR="00A722A2" w:rsidRPr="00C07A7E" w:rsidRDefault="00A722A2" w:rsidP="00610FD0">
            <w:pPr>
              <w:pStyle w:val="StandardWeb"/>
            </w:pPr>
          </w:p>
        </w:tc>
      </w:tr>
      <w:tr w:rsidR="00A722A2" w:rsidRPr="00C07A7E" w14:paraId="253939FD" w14:textId="59881982" w:rsidTr="00A722A2">
        <w:trPr>
          <w:gridAfter w:val="1"/>
          <w:wAfter w:w="4820" w:type="dxa"/>
        </w:trPr>
        <w:tc>
          <w:tcPr>
            <w:tcW w:w="4962" w:type="dxa"/>
          </w:tcPr>
          <w:p w14:paraId="23D7B4A1" w14:textId="77777777" w:rsidR="00A722A2" w:rsidRPr="00C07A7E" w:rsidRDefault="00A722A2" w:rsidP="00610FD0">
            <w:pPr>
              <w:pStyle w:val="StandardWeb"/>
              <w:rPr>
                <w:rFonts w:ascii="Alkaios" w:hAnsi="Alkaios"/>
              </w:rPr>
            </w:pPr>
            <w:r w:rsidRPr="00C07A7E">
              <w:rPr>
                <w:rFonts w:ascii="Alkaios" w:hAnsi="Alkaios"/>
              </w:rPr>
              <w:t>II. Ὁ θάνατος οὐδὲν πρὸς ἡμᾶς· τὸ γὰρ διαλυθὲν ἀναισθητεῖ· τὸ δ' ἀναισθητοῦν οὐδὲν πρὸς ἡμᾶς.</w:t>
            </w:r>
          </w:p>
        </w:tc>
        <w:tc>
          <w:tcPr>
            <w:tcW w:w="4962" w:type="dxa"/>
          </w:tcPr>
          <w:p w14:paraId="55477634" w14:textId="77777777" w:rsidR="00A722A2" w:rsidRPr="00C07A7E" w:rsidRDefault="00A722A2" w:rsidP="00610FD0">
            <w:pPr>
              <w:pStyle w:val="StandardWeb"/>
              <w:rPr>
                <w:rFonts w:ascii="Alkaios" w:hAnsi="Alkaios"/>
              </w:rPr>
            </w:pPr>
          </w:p>
        </w:tc>
      </w:tr>
      <w:tr w:rsidR="00A722A2" w:rsidRPr="00C07A7E" w14:paraId="03C903DC" w14:textId="318E8AE6" w:rsidTr="00A722A2">
        <w:trPr>
          <w:gridAfter w:val="1"/>
          <w:wAfter w:w="4820" w:type="dxa"/>
        </w:trPr>
        <w:tc>
          <w:tcPr>
            <w:tcW w:w="4962" w:type="dxa"/>
          </w:tcPr>
          <w:p w14:paraId="1F726CEA" w14:textId="77777777" w:rsidR="00A722A2" w:rsidRPr="00C07A7E" w:rsidRDefault="00A722A2" w:rsidP="00610FD0">
            <w:pPr>
              <w:pStyle w:val="StandardWeb"/>
              <w:rPr>
                <w:rFonts w:ascii="Alkaios" w:hAnsi="Alkaios"/>
              </w:rPr>
            </w:pPr>
            <w:r w:rsidRPr="00C07A7E">
              <w:rPr>
                <w:rFonts w:ascii="Alkaios" w:hAnsi="Alkaios"/>
              </w:rPr>
              <w:t xml:space="preserve">III. Ὅρος τοῦ μεγέθους τῶν ἡδονῶν ἡ παντὸς τοῦ ἀλγοῦντος ὑπεξαίρεσις. ὅπου δ' ἂν τὸ ἡδόμενον ἐνῇ, καθ' ὃν ἂν χρόνον ᾖ, οὐκ ἔστι τὸ ἀλγοῦν ἢ τὸ λυπούμενον ἢ τὸ συναμφότερον. </w:t>
            </w:r>
          </w:p>
        </w:tc>
        <w:tc>
          <w:tcPr>
            <w:tcW w:w="4962" w:type="dxa"/>
          </w:tcPr>
          <w:p w14:paraId="44736382" w14:textId="77777777" w:rsidR="00A722A2" w:rsidRPr="00C07A7E" w:rsidRDefault="00A722A2" w:rsidP="00610FD0">
            <w:pPr>
              <w:pStyle w:val="StandardWeb"/>
              <w:rPr>
                <w:rFonts w:ascii="Alkaios" w:hAnsi="Alkaios"/>
              </w:rPr>
            </w:pPr>
          </w:p>
        </w:tc>
      </w:tr>
      <w:tr w:rsidR="00A722A2" w:rsidRPr="00C07A7E" w14:paraId="5EE61750" w14:textId="19BD56C8" w:rsidTr="00A722A2">
        <w:trPr>
          <w:gridAfter w:val="1"/>
          <w:wAfter w:w="4820" w:type="dxa"/>
        </w:trPr>
        <w:tc>
          <w:tcPr>
            <w:tcW w:w="4962" w:type="dxa"/>
          </w:tcPr>
          <w:p w14:paraId="51A5C0E6" w14:textId="77777777" w:rsidR="00A722A2" w:rsidRPr="00C07A7E" w:rsidRDefault="00A722A2" w:rsidP="00610FD0">
            <w:pPr>
              <w:pStyle w:val="StandardWeb"/>
              <w:rPr>
                <w:rFonts w:ascii="Alkaios" w:hAnsi="Alkaios"/>
              </w:rPr>
            </w:pPr>
            <w:hyperlink r:id="rId8" w:anchor="p140" w:tooltip="Βίοι φιλοσόφων/Ι" w:history="1">
              <w:r w:rsidRPr="00C07A7E">
                <w:rPr>
                  <w:rStyle w:val="Hyperlink"/>
                  <w:rFonts w:ascii="Alkaios" w:hAnsi="Alkaios"/>
                </w:rPr>
                <w:t>140</w:t>
              </w:r>
            </w:hyperlink>
            <w:r w:rsidRPr="00C07A7E">
              <w:rPr>
                <w:rFonts w:ascii="Alkaios" w:hAnsi="Alkaios"/>
              </w:rPr>
              <w:t xml:space="preserve"> IV. Οὐ χρονίζει τὸ ἀλγοῦν συνεχῶς ἐν τῇ σαρκί, ἀλλὰ τὸ μὲν ἄκρον τὸν ἐλάχιστον χρόνον πάρεστι, τὸ δὲ μόνον ὑπερτεῖνον τὸ ἡδόμενον κατὰ σάρκα οὐ πολλὰς ἡμέρας συμμένει. αἱ δὲ πολυχρόνιοι τῶν ἀρρωστιῶν πλεονάζον ἔχουσι τὸ ἡδόμενον ἐν τῇ σαρκὶ ἤπερ τὸ ἀλγοῦν. </w:t>
            </w:r>
          </w:p>
        </w:tc>
        <w:tc>
          <w:tcPr>
            <w:tcW w:w="4962" w:type="dxa"/>
          </w:tcPr>
          <w:p w14:paraId="0FB7075B" w14:textId="77777777" w:rsidR="00A722A2" w:rsidRPr="00C07A7E" w:rsidRDefault="00A722A2" w:rsidP="00610FD0">
            <w:pPr>
              <w:pStyle w:val="StandardWeb"/>
            </w:pPr>
          </w:p>
        </w:tc>
      </w:tr>
      <w:tr w:rsidR="00A722A2" w:rsidRPr="00C07A7E" w14:paraId="2E65738A" w14:textId="7BA1F995" w:rsidTr="00A722A2">
        <w:trPr>
          <w:gridAfter w:val="1"/>
          <w:wAfter w:w="4820" w:type="dxa"/>
        </w:trPr>
        <w:tc>
          <w:tcPr>
            <w:tcW w:w="4962" w:type="dxa"/>
          </w:tcPr>
          <w:p w14:paraId="3C193726" w14:textId="77777777" w:rsidR="00A722A2" w:rsidRPr="00C07A7E" w:rsidRDefault="00A722A2" w:rsidP="00610FD0">
            <w:pPr>
              <w:pStyle w:val="StandardWeb"/>
              <w:rPr>
                <w:rFonts w:ascii="Alkaios" w:hAnsi="Alkaios"/>
              </w:rPr>
            </w:pPr>
            <w:r w:rsidRPr="00C07A7E">
              <w:rPr>
                <w:rFonts w:ascii="Alkaios" w:hAnsi="Alkaios"/>
              </w:rPr>
              <w:t xml:space="preserve">V. Οὐκ ἔστιν ἡδέως ζῆν ἄνευ τοῦ φρονίμως καὶ καλῶς καὶ δικαίως, &lt;οὐδὲ φρονίμως καὶ καλῶς καὶ δικαίως&gt; ἄνευ τοῦ ἡδέως. ὅτῳ δὲ τοῦτο μὴ ὑπάρχει ἐξ οὗ ζῆν φρονίμως, καὶ καλῶς καὶ δικαίως ὑπάρχει, οὐκ ἔστι τοῦτον ἡδέως ζῆν. </w:t>
            </w:r>
          </w:p>
        </w:tc>
        <w:tc>
          <w:tcPr>
            <w:tcW w:w="4962" w:type="dxa"/>
          </w:tcPr>
          <w:p w14:paraId="0FF0CCEE" w14:textId="77777777" w:rsidR="00A722A2" w:rsidRPr="00C07A7E" w:rsidRDefault="00A722A2" w:rsidP="00610FD0">
            <w:pPr>
              <w:pStyle w:val="StandardWeb"/>
              <w:rPr>
                <w:rFonts w:ascii="Alkaios" w:hAnsi="Alkaios"/>
              </w:rPr>
            </w:pPr>
          </w:p>
        </w:tc>
      </w:tr>
      <w:tr w:rsidR="00A722A2" w:rsidRPr="00C07A7E" w14:paraId="0DEA9B4F" w14:textId="23F28D6C" w:rsidTr="00A722A2">
        <w:trPr>
          <w:gridAfter w:val="1"/>
          <w:wAfter w:w="4820" w:type="dxa"/>
        </w:trPr>
        <w:tc>
          <w:tcPr>
            <w:tcW w:w="4962" w:type="dxa"/>
          </w:tcPr>
          <w:p w14:paraId="050E3A98" w14:textId="77777777" w:rsidR="00A722A2" w:rsidRPr="00C07A7E" w:rsidRDefault="00A722A2" w:rsidP="00610FD0">
            <w:pPr>
              <w:pStyle w:val="StandardWeb"/>
              <w:rPr>
                <w:rFonts w:ascii="Alkaios" w:hAnsi="Alkaios"/>
              </w:rPr>
            </w:pPr>
            <w:r w:rsidRPr="00C07A7E">
              <w:rPr>
                <w:rFonts w:ascii="Alkaios" w:hAnsi="Alkaios"/>
              </w:rPr>
              <w:lastRenderedPageBreak/>
              <w:t>VI. Ἕνεκα τοῦ θαρρεῖν ἐξ ἀνθρώπων, ἦν κατὰ φύσιν &lt;ἀρχῆς καὶ βασιλείας</w:t>
            </w:r>
            <w:r w:rsidRPr="00C07A7E">
              <w:rPr>
                <w:rStyle w:val="Funotenzeichen"/>
                <w:rFonts w:ascii="Alkaios" w:hAnsi="Alkaios"/>
              </w:rPr>
              <w:footnoteReference w:id="2"/>
            </w:r>
            <w:r w:rsidRPr="00C07A7E">
              <w:rPr>
                <w:rFonts w:ascii="Alkaios" w:hAnsi="Alkaios"/>
              </w:rPr>
              <w:t>&gt; ἀγαθόν, ἐξ ὧν ἄν ποτε τοῦτο οἷός τ' ᾖ</w:t>
            </w:r>
            <w:r w:rsidRPr="00C07A7E">
              <w:rPr>
                <w:rStyle w:val="Funotenzeichen"/>
                <w:rFonts w:ascii="Alkaios" w:hAnsi="Alkaios"/>
              </w:rPr>
              <w:footnoteReference w:id="3"/>
            </w:r>
            <w:r w:rsidRPr="00C07A7E">
              <w:rPr>
                <w:rFonts w:ascii="Alkaios" w:hAnsi="Alkaios"/>
              </w:rPr>
              <w:t xml:space="preserve"> παρασκευάζεσθαι. </w:t>
            </w:r>
          </w:p>
        </w:tc>
        <w:tc>
          <w:tcPr>
            <w:tcW w:w="4962" w:type="dxa"/>
          </w:tcPr>
          <w:p w14:paraId="2B281C3C" w14:textId="77777777" w:rsidR="00A722A2" w:rsidRPr="00C07A7E" w:rsidRDefault="00A722A2" w:rsidP="00610FD0">
            <w:pPr>
              <w:pStyle w:val="StandardWeb"/>
              <w:rPr>
                <w:rFonts w:ascii="Alkaios" w:hAnsi="Alkaios"/>
              </w:rPr>
            </w:pPr>
          </w:p>
        </w:tc>
      </w:tr>
      <w:tr w:rsidR="00A722A2" w:rsidRPr="00C07A7E" w14:paraId="5F4D174F" w14:textId="3CD005E2" w:rsidTr="00A722A2">
        <w:trPr>
          <w:gridAfter w:val="1"/>
          <w:wAfter w:w="4820" w:type="dxa"/>
        </w:trPr>
        <w:tc>
          <w:tcPr>
            <w:tcW w:w="4962" w:type="dxa"/>
          </w:tcPr>
          <w:p w14:paraId="7C54E11D" w14:textId="77777777" w:rsidR="00A722A2" w:rsidRPr="00C07A7E" w:rsidRDefault="00A722A2" w:rsidP="00610FD0">
            <w:pPr>
              <w:pStyle w:val="StandardWeb"/>
              <w:rPr>
                <w:rFonts w:ascii="Alkaios" w:hAnsi="Alkaios"/>
              </w:rPr>
            </w:pPr>
            <w:hyperlink r:id="rId9" w:anchor="p141" w:tooltip="Βίοι φιλοσόφων/Ι" w:history="1">
              <w:r w:rsidRPr="00C07A7E">
                <w:rPr>
                  <w:rStyle w:val="Hyperlink"/>
                  <w:rFonts w:ascii="Alkaios" w:hAnsi="Alkaios"/>
                </w:rPr>
                <w:t>141</w:t>
              </w:r>
            </w:hyperlink>
            <w:r w:rsidRPr="00C07A7E">
              <w:rPr>
                <w:rFonts w:ascii="Alkaios" w:hAnsi="Alkaios"/>
              </w:rPr>
              <w:t xml:space="preserve"> VII. Ἔνδοξοι καὶ περίβλεπτοί τινες ἐβουλήθησαν γενέσθαι, τὴν ἐξ ἀνθρώπων ἀσφάλειαν οὕτω νομίζοντες περιποιήσεσθαι. ὥστ' εἰ μὲν ἀσφαλὴς ὁ τῶν τοιούτων βίος, ἀπέλαβον τὸ τῆς φύσεως ἀγαθόν· εἰ δὲ μὴ ἀσφαλής, οὐκ ἔχουσιν οὗ ἕνεκα ἐξ ἀρχῆς κατὰ τὸ τῆς φύσεως οἰκεῖον ὠρέχθησαν. </w:t>
            </w:r>
          </w:p>
        </w:tc>
        <w:tc>
          <w:tcPr>
            <w:tcW w:w="4962" w:type="dxa"/>
          </w:tcPr>
          <w:p w14:paraId="137E9203" w14:textId="77777777" w:rsidR="00A722A2" w:rsidRPr="00C07A7E" w:rsidRDefault="00A722A2" w:rsidP="00610FD0">
            <w:pPr>
              <w:pStyle w:val="StandardWeb"/>
            </w:pPr>
          </w:p>
        </w:tc>
      </w:tr>
      <w:tr w:rsidR="00A722A2" w:rsidRPr="00C07A7E" w14:paraId="0730D6FA" w14:textId="79B42792" w:rsidTr="00A722A2">
        <w:trPr>
          <w:gridAfter w:val="1"/>
          <w:wAfter w:w="4820" w:type="dxa"/>
        </w:trPr>
        <w:tc>
          <w:tcPr>
            <w:tcW w:w="4962" w:type="dxa"/>
          </w:tcPr>
          <w:p w14:paraId="2B84229E" w14:textId="77777777" w:rsidR="00A722A2" w:rsidRPr="00C07A7E" w:rsidRDefault="00A722A2" w:rsidP="00610FD0">
            <w:pPr>
              <w:pStyle w:val="StandardWeb"/>
              <w:rPr>
                <w:rFonts w:ascii="Alkaios" w:hAnsi="Alkaios"/>
              </w:rPr>
            </w:pPr>
            <w:r w:rsidRPr="00C07A7E">
              <w:rPr>
                <w:rFonts w:ascii="Alkaios" w:hAnsi="Alkaios"/>
              </w:rPr>
              <w:t xml:space="preserve">VIII. Οὐδεμία ἡδονὴ καθ' ἑαυτὸ κακόν· ἀλλὰ τὰ τινῶν ἡδονῶν ποιητικὰ πολλαπλασίους ἐπιφέρει τὰς ὀχλήσεις τῶν ἡδονῶν. </w:t>
            </w:r>
          </w:p>
        </w:tc>
        <w:tc>
          <w:tcPr>
            <w:tcW w:w="4962" w:type="dxa"/>
          </w:tcPr>
          <w:p w14:paraId="0F5F0BDF" w14:textId="77777777" w:rsidR="00A722A2" w:rsidRPr="00C07A7E" w:rsidRDefault="00A722A2" w:rsidP="00610FD0">
            <w:pPr>
              <w:pStyle w:val="StandardWeb"/>
              <w:rPr>
                <w:rFonts w:ascii="Alkaios" w:hAnsi="Alkaios"/>
              </w:rPr>
            </w:pPr>
          </w:p>
        </w:tc>
      </w:tr>
      <w:tr w:rsidR="00A722A2" w:rsidRPr="00C07A7E" w14:paraId="4B53C3BF" w14:textId="4C5718FE" w:rsidTr="00A722A2">
        <w:trPr>
          <w:gridAfter w:val="1"/>
          <w:wAfter w:w="4820" w:type="dxa"/>
        </w:trPr>
        <w:tc>
          <w:tcPr>
            <w:tcW w:w="4962" w:type="dxa"/>
          </w:tcPr>
          <w:p w14:paraId="77B3E48C" w14:textId="77777777" w:rsidR="00A722A2" w:rsidRPr="00C07A7E" w:rsidRDefault="00A722A2" w:rsidP="00610FD0">
            <w:pPr>
              <w:pStyle w:val="StandardWeb"/>
              <w:rPr>
                <w:rFonts w:ascii="Alkaios" w:hAnsi="Alkaios"/>
              </w:rPr>
            </w:pPr>
            <w:hyperlink r:id="rId10" w:anchor="p142" w:tooltip="Βίοι φιλοσόφων/Ι" w:history="1">
              <w:r w:rsidRPr="00C07A7E">
                <w:rPr>
                  <w:rStyle w:val="Hyperlink"/>
                  <w:rFonts w:ascii="Alkaios" w:hAnsi="Alkaios"/>
                </w:rPr>
                <w:t>142</w:t>
              </w:r>
            </w:hyperlink>
            <w:r w:rsidRPr="00C07A7E">
              <w:rPr>
                <w:rFonts w:ascii="Alkaios" w:hAnsi="Alkaios"/>
              </w:rPr>
              <w:t xml:space="preserve"> IX. Εἰ κατεπυκνοῦτο πᾶσα ἡδονή, καὶ χρόνῳ καὶ περὶ ὅλον τὸ ἄθροισμα ὑπῆρχεν ἢ τὰ κυριώτατα μέρη τῆς φύσεως</w:t>
            </w:r>
            <w:r w:rsidRPr="00C07A7E">
              <w:rPr>
                <w:rStyle w:val="Funotenzeichen"/>
                <w:rFonts w:ascii="Alkaios" w:hAnsi="Alkaios"/>
              </w:rPr>
              <w:footnoteReference w:id="4"/>
            </w:r>
            <w:r w:rsidRPr="00C07A7E">
              <w:rPr>
                <w:rFonts w:ascii="Alkaios" w:hAnsi="Alkaios"/>
              </w:rPr>
              <w:t xml:space="preserve">, οὐκ ἄν ποτε διέφερον ἀλλήλων αἱ ἡδοναί. </w:t>
            </w:r>
          </w:p>
        </w:tc>
        <w:tc>
          <w:tcPr>
            <w:tcW w:w="4962" w:type="dxa"/>
          </w:tcPr>
          <w:p w14:paraId="44669DD7" w14:textId="77777777" w:rsidR="00A722A2" w:rsidRPr="00C07A7E" w:rsidRDefault="00A722A2" w:rsidP="00610FD0">
            <w:pPr>
              <w:pStyle w:val="StandardWeb"/>
            </w:pPr>
          </w:p>
        </w:tc>
      </w:tr>
      <w:tr w:rsidR="00A722A2" w:rsidRPr="00C07A7E" w14:paraId="1BE87AF3" w14:textId="2FC22B94" w:rsidTr="00A722A2">
        <w:trPr>
          <w:gridAfter w:val="1"/>
          <w:wAfter w:w="4820" w:type="dxa"/>
        </w:trPr>
        <w:tc>
          <w:tcPr>
            <w:tcW w:w="4962" w:type="dxa"/>
          </w:tcPr>
          <w:p w14:paraId="67895E03" w14:textId="77777777" w:rsidR="00A722A2" w:rsidRPr="00C07A7E" w:rsidRDefault="00A722A2" w:rsidP="00610FD0">
            <w:pPr>
              <w:pStyle w:val="StandardWeb"/>
              <w:rPr>
                <w:rFonts w:ascii="Alkaios" w:hAnsi="Alkaios"/>
              </w:rPr>
            </w:pPr>
            <w:r w:rsidRPr="00C07A7E">
              <w:rPr>
                <w:rFonts w:ascii="Alkaios" w:hAnsi="Alkaios"/>
              </w:rPr>
              <w:t xml:space="preserve">X. Εἰ τὰ ποιητικὰ τῶν περὶ τοὺς ἀσώτους ἡδονῶν ἔλυε τοὺς φόβους τῆς διανοίας τούς τε περὶ μετεώρων καὶ θανάτου καὶ ἀλγηδόνων, ἔτι τε τὸ πέρας τῶν ἐπιθυμιῶν ἐδίδασκεν, οὐκ ἄν ποτε εἴχομεν ὅ τι μεμψαίμεθα αὐτοῖς πανταχόθεν ἐκπληρουμένοις τῶν ἡδονῶν καὶ οὐθαμόθεν οὔτε τὸ ἀλγοῦν οὔτε τὸ λυπούμενον ἔχουσιν, ὅπερ ἐστὶ τὸ κακόν. </w:t>
            </w:r>
          </w:p>
        </w:tc>
        <w:tc>
          <w:tcPr>
            <w:tcW w:w="4962" w:type="dxa"/>
          </w:tcPr>
          <w:p w14:paraId="470EAAE0" w14:textId="77777777" w:rsidR="00A722A2" w:rsidRPr="00C07A7E" w:rsidRDefault="00A722A2" w:rsidP="00610FD0">
            <w:pPr>
              <w:pStyle w:val="StandardWeb"/>
              <w:rPr>
                <w:rFonts w:ascii="Alkaios" w:hAnsi="Alkaios"/>
              </w:rPr>
            </w:pPr>
          </w:p>
        </w:tc>
      </w:tr>
      <w:tr w:rsidR="00A722A2" w:rsidRPr="00C07A7E" w14:paraId="5930C20A" w14:textId="18BE329D" w:rsidTr="00A722A2">
        <w:trPr>
          <w:gridAfter w:val="1"/>
          <w:wAfter w:w="4820" w:type="dxa"/>
        </w:trPr>
        <w:tc>
          <w:tcPr>
            <w:tcW w:w="4962" w:type="dxa"/>
          </w:tcPr>
          <w:p w14:paraId="40C1784C" w14:textId="77777777" w:rsidR="00A722A2" w:rsidRPr="00C07A7E" w:rsidRDefault="00A722A2" w:rsidP="00610FD0">
            <w:pPr>
              <w:pStyle w:val="StandardWeb"/>
              <w:rPr>
                <w:rFonts w:ascii="Alkaios" w:hAnsi="Alkaios"/>
              </w:rPr>
            </w:pPr>
            <w:r w:rsidRPr="00C07A7E">
              <w:rPr>
                <w:rFonts w:ascii="Alkaios" w:hAnsi="Alkaios"/>
              </w:rPr>
              <w:t xml:space="preserve">XI. Εἰ μηθὲν ἡμᾶς αἱ τῶν μετεώρων ὑποψίαι ἠνώχλουν καὶ αἱ περὶ θανάτου, μή ποτε πρὸς ἡμᾶς ᾖ τι, ἔτι τε τὸ μὴ κατανοεῖν τοὺς ὅρους τῶν ἀλγηδόνων καὶ τῶν ἐπιθυμιῶν, οὐκ ἂν προσεδεόμεθα φυσιολογίας. </w:t>
            </w:r>
          </w:p>
        </w:tc>
        <w:tc>
          <w:tcPr>
            <w:tcW w:w="4962" w:type="dxa"/>
          </w:tcPr>
          <w:p w14:paraId="53A85F57" w14:textId="77777777" w:rsidR="00A722A2" w:rsidRPr="00C07A7E" w:rsidRDefault="00A722A2" w:rsidP="00610FD0">
            <w:pPr>
              <w:pStyle w:val="StandardWeb"/>
              <w:rPr>
                <w:rFonts w:ascii="Alkaios" w:hAnsi="Alkaios"/>
              </w:rPr>
            </w:pPr>
          </w:p>
        </w:tc>
      </w:tr>
      <w:tr w:rsidR="00A722A2" w:rsidRPr="00C07A7E" w14:paraId="5951E97C" w14:textId="7D5E702F" w:rsidTr="00A722A2">
        <w:trPr>
          <w:gridAfter w:val="1"/>
          <w:wAfter w:w="4820" w:type="dxa"/>
        </w:trPr>
        <w:tc>
          <w:tcPr>
            <w:tcW w:w="4962" w:type="dxa"/>
          </w:tcPr>
          <w:p w14:paraId="3E90EFF2" w14:textId="77777777" w:rsidR="00A722A2" w:rsidRPr="00C07A7E" w:rsidRDefault="00A722A2" w:rsidP="00610FD0">
            <w:pPr>
              <w:pStyle w:val="StandardWeb"/>
              <w:rPr>
                <w:rFonts w:ascii="Alkaios" w:hAnsi="Alkaios"/>
              </w:rPr>
            </w:pPr>
            <w:hyperlink r:id="rId11" w:anchor="p143" w:tooltip="Βίοι φιλοσόφων/Ι" w:history="1">
              <w:r w:rsidRPr="00C07A7E">
                <w:rPr>
                  <w:rStyle w:val="Hyperlink"/>
                  <w:rFonts w:ascii="Alkaios" w:hAnsi="Alkaios"/>
                </w:rPr>
                <w:t>143</w:t>
              </w:r>
            </w:hyperlink>
            <w:r w:rsidRPr="00C07A7E">
              <w:rPr>
                <w:rFonts w:ascii="Alkaios" w:hAnsi="Alkaios"/>
              </w:rPr>
              <w:t xml:space="preserve"> XII. Οὐκ ἦν</w:t>
            </w:r>
            <w:r w:rsidRPr="00C07A7E">
              <w:rPr>
                <w:rStyle w:val="Funotenzeichen"/>
                <w:rFonts w:ascii="Alkaios" w:hAnsi="Alkaios"/>
              </w:rPr>
              <w:footnoteReference w:id="5"/>
            </w:r>
            <w:r w:rsidRPr="00C07A7E">
              <w:rPr>
                <w:rFonts w:ascii="Alkaios" w:hAnsi="Alkaios"/>
              </w:rPr>
              <w:t xml:space="preserve"> τὸ φοβούμενον λύειν ὑπὲρ τῶν κυριωτάτων μὴ κατειδότα</w:t>
            </w:r>
            <w:r w:rsidRPr="00C07A7E">
              <w:rPr>
                <w:rStyle w:val="Funotenzeichen"/>
                <w:rFonts w:ascii="Alkaios" w:hAnsi="Alkaios"/>
              </w:rPr>
              <w:footnoteReference w:id="6"/>
            </w:r>
            <w:r w:rsidRPr="00C07A7E">
              <w:rPr>
                <w:rFonts w:ascii="Alkaios" w:hAnsi="Alkaios"/>
              </w:rPr>
              <w:t xml:space="preserve"> τίς</w:t>
            </w:r>
            <w:r w:rsidRPr="00C07A7E">
              <w:rPr>
                <w:rStyle w:val="Funotenzeichen"/>
                <w:rFonts w:ascii="Alkaios" w:hAnsi="Alkaios"/>
              </w:rPr>
              <w:footnoteReference w:id="7"/>
            </w:r>
            <w:r w:rsidRPr="00C07A7E">
              <w:rPr>
                <w:rFonts w:ascii="Alkaios" w:hAnsi="Alkaios"/>
              </w:rPr>
              <w:t xml:space="preserve"> ἡ τοῦ σύμπαντος φύσις, ἀλλ' ὑποπτευόμενόν τι τῶν κατὰ τοὺς μύθους· ὥστε οὐκ ἦν ἄνευ φυσιολογίας ἀκεραίους τὰς ἡδονὰς ἀπολαμβάνειν. </w:t>
            </w:r>
          </w:p>
        </w:tc>
        <w:tc>
          <w:tcPr>
            <w:tcW w:w="4962" w:type="dxa"/>
          </w:tcPr>
          <w:p w14:paraId="2B02A446" w14:textId="77777777" w:rsidR="00A722A2" w:rsidRPr="00C07A7E" w:rsidRDefault="00A722A2" w:rsidP="00610FD0">
            <w:pPr>
              <w:pStyle w:val="StandardWeb"/>
            </w:pPr>
          </w:p>
        </w:tc>
      </w:tr>
      <w:tr w:rsidR="00A722A2" w:rsidRPr="00C07A7E" w14:paraId="1239F205" w14:textId="1F64EC2C" w:rsidTr="00A722A2">
        <w:trPr>
          <w:gridAfter w:val="1"/>
          <w:wAfter w:w="4820" w:type="dxa"/>
        </w:trPr>
        <w:tc>
          <w:tcPr>
            <w:tcW w:w="4962" w:type="dxa"/>
          </w:tcPr>
          <w:p w14:paraId="36771A55" w14:textId="77777777" w:rsidR="00A722A2" w:rsidRPr="00C07A7E" w:rsidRDefault="00A722A2" w:rsidP="00610FD0">
            <w:pPr>
              <w:pStyle w:val="StandardWeb"/>
              <w:rPr>
                <w:rFonts w:ascii="Alkaios" w:hAnsi="Alkaios"/>
              </w:rPr>
            </w:pPr>
            <w:r w:rsidRPr="00C07A7E">
              <w:rPr>
                <w:rFonts w:ascii="Alkaios" w:hAnsi="Alkaios"/>
              </w:rPr>
              <w:t>XIII. Οὐθὲν ὄφελος ἦν τὴν κατ' ἀνθρώπους ἀσφάλειαν κατασκευάζεσθαι τῶν</w:t>
            </w:r>
            <w:r w:rsidRPr="00C07A7E">
              <w:rPr>
                <w:rStyle w:val="Funotenzeichen"/>
                <w:rFonts w:ascii="Alkaios" w:hAnsi="Alkaios"/>
              </w:rPr>
              <w:footnoteReference w:id="8"/>
            </w:r>
            <w:r w:rsidRPr="00C07A7E">
              <w:rPr>
                <w:rFonts w:ascii="Alkaios" w:hAnsi="Alkaios"/>
              </w:rPr>
              <w:t xml:space="preserve"> ἄνωθεν </w:t>
            </w:r>
            <w:r w:rsidRPr="00C07A7E">
              <w:rPr>
                <w:rFonts w:ascii="Alkaios" w:hAnsi="Alkaios"/>
              </w:rPr>
              <w:lastRenderedPageBreak/>
              <w:t xml:space="preserve">ὑπόπτων καθεστώτων καὶ τῶν ὑπὸ γῆς καὶ ἁπλῶς τῶν ἐν τῷ ἀπείρῳ. </w:t>
            </w:r>
          </w:p>
        </w:tc>
        <w:tc>
          <w:tcPr>
            <w:tcW w:w="4962" w:type="dxa"/>
          </w:tcPr>
          <w:p w14:paraId="7DC5062F" w14:textId="77777777" w:rsidR="00A722A2" w:rsidRPr="00C07A7E" w:rsidRDefault="00A722A2" w:rsidP="00610FD0">
            <w:pPr>
              <w:pStyle w:val="StandardWeb"/>
              <w:rPr>
                <w:rFonts w:ascii="Alkaios" w:hAnsi="Alkaios"/>
              </w:rPr>
            </w:pPr>
          </w:p>
        </w:tc>
      </w:tr>
      <w:tr w:rsidR="00A722A2" w:rsidRPr="00C07A7E" w14:paraId="11C5E87A" w14:textId="0A8B2DBE" w:rsidTr="00A722A2">
        <w:trPr>
          <w:gridAfter w:val="1"/>
          <w:wAfter w:w="4820" w:type="dxa"/>
        </w:trPr>
        <w:tc>
          <w:tcPr>
            <w:tcW w:w="4962" w:type="dxa"/>
          </w:tcPr>
          <w:p w14:paraId="540653B3" w14:textId="77777777" w:rsidR="00A722A2" w:rsidRPr="00C07A7E" w:rsidRDefault="00A722A2" w:rsidP="00610FD0">
            <w:pPr>
              <w:pStyle w:val="StandardWeb"/>
              <w:rPr>
                <w:rFonts w:ascii="Alkaios" w:hAnsi="Alkaios"/>
              </w:rPr>
            </w:pPr>
            <w:r w:rsidRPr="00C07A7E">
              <w:rPr>
                <w:rFonts w:ascii="Alkaios" w:hAnsi="Alkaios"/>
              </w:rPr>
              <w:t>XIV. Τῆς</w:t>
            </w:r>
            <w:r w:rsidRPr="00C07A7E">
              <w:rPr>
                <w:rStyle w:val="Funotenzeichen"/>
                <w:rFonts w:ascii="Alkaios" w:hAnsi="Alkaios"/>
              </w:rPr>
              <w:footnoteReference w:id="9"/>
            </w:r>
            <w:r w:rsidRPr="00C07A7E">
              <w:rPr>
                <w:rFonts w:ascii="Alkaios" w:hAnsi="Alkaios"/>
              </w:rPr>
              <w:t xml:space="preserve"> ἀσφαλείας τῆς ἐξ ἀνθρώπων γενομένης μέχρι τινὸς δυνάμει τε ἐξερειστικῇ καὶ εὐπορίᾳ εἰλικρινεστάτη γίνεται ἡ ἐκ τῆς ἡσυχίας καὶ ἐκχωρήσεως τῶν πολλῶν ἀσφάλεια. </w:t>
            </w:r>
          </w:p>
        </w:tc>
        <w:tc>
          <w:tcPr>
            <w:tcW w:w="4962" w:type="dxa"/>
          </w:tcPr>
          <w:p w14:paraId="18667E75" w14:textId="77777777" w:rsidR="00A722A2" w:rsidRPr="00C07A7E" w:rsidRDefault="00A722A2" w:rsidP="00610FD0">
            <w:pPr>
              <w:pStyle w:val="StandardWeb"/>
              <w:rPr>
                <w:rFonts w:ascii="Alkaios" w:hAnsi="Alkaios"/>
              </w:rPr>
            </w:pPr>
          </w:p>
        </w:tc>
      </w:tr>
      <w:tr w:rsidR="00A722A2" w:rsidRPr="00C07A7E" w14:paraId="35D88C1D" w14:textId="2F0E1D54" w:rsidTr="00A722A2">
        <w:trPr>
          <w:gridAfter w:val="1"/>
          <w:wAfter w:w="4820" w:type="dxa"/>
        </w:trPr>
        <w:tc>
          <w:tcPr>
            <w:tcW w:w="4962" w:type="dxa"/>
          </w:tcPr>
          <w:p w14:paraId="707439C1" w14:textId="77777777" w:rsidR="00A722A2" w:rsidRPr="00C07A7E" w:rsidRDefault="00A722A2" w:rsidP="00610FD0">
            <w:pPr>
              <w:pStyle w:val="StandardWeb"/>
              <w:rPr>
                <w:rFonts w:ascii="Alkaios" w:hAnsi="Alkaios"/>
              </w:rPr>
            </w:pPr>
            <w:hyperlink r:id="rId12" w:anchor="p144" w:tooltip="Βίοι φιλοσόφων/Ι" w:history="1">
              <w:r w:rsidRPr="00C07A7E">
                <w:rPr>
                  <w:rStyle w:val="Hyperlink"/>
                  <w:rFonts w:ascii="Alkaios" w:hAnsi="Alkaios"/>
                </w:rPr>
                <w:t>144</w:t>
              </w:r>
            </w:hyperlink>
            <w:r w:rsidRPr="00C07A7E">
              <w:rPr>
                <w:rFonts w:ascii="Alkaios" w:hAnsi="Alkaios"/>
              </w:rPr>
              <w:t xml:space="preserve"> XV. Ὁ τῆς φύσεως πλοῦτος καὶ ὥρισται καὶ εὐπόριστός ἐστιν· ὁ δὲ τῶν κενῶν δοξῶν εἰς ἄπειρον ἐκπίπτει. </w:t>
            </w:r>
          </w:p>
        </w:tc>
        <w:tc>
          <w:tcPr>
            <w:tcW w:w="4962" w:type="dxa"/>
          </w:tcPr>
          <w:p w14:paraId="4B87FCA7" w14:textId="77777777" w:rsidR="00A722A2" w:rsidRPr="00C07A7E" w:rsidRDefault="00A722A2" w:rsidP="00610FD0">
            <w:pPr>
              <w:pStyle w:val="StandardWeb"/>
            </w:pPr>
          </w:p>
        </w:tc>
      </w:tr>
      <w:tr w:rsidR="00A722A2" w:rsidRPr="00C07A7E" w14:paraId="149BF36B" w14:textId="3AF4640A" w:rsidTr="00A722A2">
        <w:trPr>
          <w:gridAfter w:val="1"/>
          <w:wAfter w:w="4820" w:type="dxa"/>
        </w:trPr>
        <w:tc>
          <w:tcPr>
            <w:tcW w:w="4962" w:type="dxa"/>
          </w:tcPr>
          <w:p w14:paraId="4F83F6B2" w14:textId="77777777" w:rsidR="00A722A2" w:rsidRPr="00C07A7E" w:rsidRDefault="00A722A2" w:rsidP="00610FD0">
            <w:pPr>
              <w:pStyle w:val="StandardWeb"/>
              <w:rPr>
                <w:rFonts w:ascii="Alkaios" w:hAnsi="Alkaios"/>
              </w:rPr>
            </w:pPr>
            <w:r w:rsidRPr="00C07A7E">
              <w:rPr>
                <w:rFonts w:ascii="Alkaios" w:hAnsi="Alkaios"/>
              </w:rPr>
              <w:t xml:space="preserve">XVI. Βραχέα σοφῷ τύχη παρεμπίπτει, τὰ δὲ μέγιστα καὶ κυριώτατα ὁ λογισμὸς διῴκηκε καὶ κατὰ τὸν συνεχῆ χρόνον τοῦ βίου διοικεῖ καὶ διοικήσει. </w:t>
            </w:r>
          </w:p>
        </w:tc>
        <w:tc>
          <w:tcPr>
            <w:tcW w:w="4962" w:type="dxa"/>
          </w:tcPr>
          <w:p w14:paraId="4CAEB783" w14:textId="77777777" w:rsidR="00A722A2" w:rsidRPr="00C07A7E" w:rsidRDefault="00A722A2" w:rsidP="00610FD0">
            <w:pPr>
              <w:pStyle w:val="StandardWeb"/>
              <w:rPr>
                <w:rFonts w:ascii="Alkaios" w:hAnsi="Alkaios"/>
              </w:rPr>
            </w:pPr>
          </w:p>
        </w:tc>
      </w:tr>
      <w:tr w:rsidR="00A722A2" w:rsidRPr="00C07A7E" w14:paraId="55E98366" w14:textId="65C2FB4C" w:rsidTr="00A722A2">
        <w:trPr>
          <w:gridAfter w:val="1"/>
          <w:wAfter w:w="4820" w:type="dxa"/>
        </w:trPr>
        <w:tc>
          <w:tcPr>
            <w:tcW w:w="4962" w:type="dxa"/>
          </w:tcPr>
          <w:p w14:paraId="3DD600CD" w14:textId="77777777" w:rsidR="00A722A2" w:rsidRPr="00C07A7E" w:rsidRDefault="00A722A2" w:rsidP="00610FD0">
            <w:pPr>
              <w:pStyle w:val="StandardWeb"/>
              <w:rPr>
                <w:rFonts w:ascii="Alkaios" w:hAnsi="Alkaios"/>
                <w:lang w:val="el-GR"/>
              </w:rPr>
            </w:pPr>
            <w:r w:rsidRPr="00C07A7E">
              <w:rPr>
                <w:rFonts w:ascii="Alkaios" w:hAnsi="Alkaios"/>
              </w:rPr>
              <w:t>XVII</w:t>
            </w:r>
            <w:r w:rsidRPr="00C07A7E">
              <w:rPr>
                <w:rFonts w:ascii="Alkaios" w:hAnsi="Alkaios"/>
                <w:lang w:val="el-GR"/>
              </w:rPr>
              <w:t xml:space="preserve">. Ὁ δίκαιος ἀταρακτότατος, ὁ δ' ἄδικος πλείστης ταραχῆς γέμων. </w:t>
            </w:r>
          </w:p>
        </w:tc>
        <w:tc>
          <w:tcPr>
            <w:tcW w:w="4962" w:type="dxa"/>
          </w:tcPr>
          <w:p w14:paraId="042F833B" w14:textId="77777777" w:rsidR="00A722A2" w:rsidRPr="00C07A7E" w:rsidRDefault="00A722A2" w:rsidP="00610FD0">
            <w:pPr>
              <w:pStyle w:val="StandardWeb"/>
              <w:rPr>
                <w:rFonts w:ascii="Alkaios" w:hAnsi="Alkaios"/>
              </w:rPr>
            </w:pPr>
          </w:p>
        </w:tc>
      </w:tr>
      <w:tr w:rsidR="00A722A2" w:rsidRPr="00C07A7E" w14:paraId="3C312D72" w14:textId="2DCA2223" w:rsidTr="00A722A2">
        <w:trPr>
          <w:gridAfter w:val="1"/>
          <w:wAfter w:w="4820" w:type="dxa"/>
        </w:trPr>
        <w:tc>
          <w:tcPr>
            <w:tcW w:w="4962" w:type="dxa"/>
          </w:tcPr>
          <w:p w14:paraId="7A62D278" w14:textId="77777777" w:rsidR="00A722A2" w:rsidRPr="00C07A7E" w:rsidRDefault="00A722A2" w:rsidP="00610FD0">
            <w:pPr>
              <w:pStyle w:val="StandardWeb"/>
              <w:rPr>
                <w:rFonts w:ascii="Alkaios" w:hAnsi="Alkaios"/>
                <w:lang w:val="el-GR"/>
              </w:rPr>
            </w:pPr>
            <w:r w:rsidRPr="00C07A7E">
              <w:rPr>
                <w:rFonts w:ascii="Alkaios" w:hAnsi="Alkaios"/>
              </w:rPr>
              <w:t>XVIII</w:t>
            </w:r>
            <w:r w:rsidRPr="00C07A7E">
              <w:rPr>
                <w:rFonts w:ascii="Alkaios" w:hAnsi="Alkaios"/>
                <w:lang w:val="el-GR"/>
              </w:rPr>
              <w:t xml:space="preserve">. Οὐκ ἐπαύξεται ἐν τῇ σαρκὶ ἡ ἡδονὴ ἐπειδὰν ἅπαξ τὸ κατ' ἔνδειαν ἀλγοῦν ἐξαιρεθῇ, ἀλλὰ μόνον ποικίλλεται. τῆς δὲ διανοίας τὸ πέρας τὸ κατὰ τὴν ἡδονὴν ἀπεγέννησεν ἥ τε τούτων αὐτῶν ἐκλόγισις καὶ τῶν ὁμογενῶν τούτοις ὅσα τοὺς μεγίστους φόβους παρεσκεύαζε τῇ διανοίᾳ. </w:t>
            </w:r>
          </w:p>
        </w:tc>
        <w:tc>
          <w:tcPr>
            <w:tcW w:w="4962" w:type="dxa"/>
          </w:tcPr>
          <w:p w14:paraId="3E8C58EE" w14:textId="77777777" w:rsidR="00A722A2" w:rsidRPr="00C07A7E" w:rsidRDefault="00A722A2" w:rsidP="00610FD0">
            <w:pPr>
              <w:pStyle w:val="StandardWeb"/>
              <w:rPr>
                <w:rFonts w:ascii="Alkaios" w:hAnsi="Alkaios"/>
              </w:rPr>
            </w:pPr>
          </w:p>
        </w:tc>
      </w:tr>
      <w:tr w:rsidR="00A722A2" w:rsidRPr="00C07A7E" w14:paraId="08E14753" w14:textId="293C6F7D" w:rsidTr="00A722A2">
        <w:trPr>
          <w:gridAfter w:val="1"/>
          <w:wAfter w:w="4820" w:type="dxa"/>
        </w:trPr>
        <w:tc>
          <w:tcPr>
            <w:tcW w:w="4962" w:type="dxa"/>
          </w:tcPr>
          <w:p w14:paraId="45A93EF6" w14:textId="77777777" w:rsidR="00A722A2" w:rsidRPr="00C07A7E" w:rsidRDefault="00A722A2" w:rsidP="00610FD0">
            <w:pPr>
              <w:pStyle w:val="StandardWeb"/>
              <w:rPr>
                <w:rFonts w:ascii="Alkaios" w:hAnsi="Alkaios"/>
                <w:lang w:val="el-GR"/>
              </w:rPr>
            </w:pPr>
            <w:hyperlink r:id="rId13" w:anchor="p145" w:tooltip="Βίοι φιλοσόφων/Ι" w:history="1">
              <w:r w:rsidRPr="00C07A7E">
                <w:rPr>
                  <w:rStyle w:val="Hyperlink"/>
                  <w:rFonts w:ascii="Alkaios" w:hAnsi="Alkaios"/>
                  <w:lang w:val="el-GR"/>
                </w:rPr>
                <w:t>145</w:t>
              </w:r>
            </w:hyperlink>
            <w:r w:rsidRPr="00C07A7E">
              <w:rPr>
                <w:rFonts w:ascii="Alkaios" w:hAnsi="Alkaios"/>
                <w:lang w:val="el-GR"/>
              </w:rPr>
              <w:t xml:space="preserve"> </w:t>
            </w:r>
            <w:r w:rsidRPr="00C07A7E">
              <w:rPr>
                <w:rFonts w:ascii="Alkaios" w:hAnsi="Alkaios"/>
              </w:rPr>
              <w:t>XIX</w:t>
            </w:r>
            <w:r w:rsidRPr="00C07A7E">
              <w:rPr>
                <w:rFonts w:ascii="Alkaios" w:hAnsi="Alkaios"/>
                <w:lang w:val="el-GR"/>
              </w:rPr>
              <w:t xml:space="preserve">. Ὁ ἄπειρος χρόνος ἴσην ἔχει τὴν ἡδονὴν καὶ ὁ πεπερασμένος, ἐάν τις αὐτῆς τὰ πέρατα καταμετρήσῃ τῷ λογισμῷ. </w:t>
            </w:r>
          </w:p>
        </w:tc>
        <w:tc>
          <w:tcPr>
            <w:tcW w:w="4962" w:type="dxa"/>
          </w:tcPr>
          <w:p w14:paraId="0E8DDDC3" w14:textId="77777777" w:rsidR="00A722A2" w:rsidRPr="00C07A7E" w:rsidRDefault="00A722A2" w:rsidP="00610FD0">
            <w:pPr>
              <w:pStyle w:val="StandardWeb"/>
            </w:pPr>
          </w:p>
        </w:tc>
      </w:tr>
      <w:tr w:rsidR="00A722A2" w:rsidRPr="00C07A7E" w14:paraId="738A93B9" w14:textId="73814306" w:rsidTr="00A722A2">
        <w:trPr>
          <w:gridAfter w:val="1"/>
          <w:wAfter w:w="4820" w:type="dxa"/>
        </w:trPr>
        <w:tc>
          <w:tcPr>
            <w:tcW w:w="4962" w:type="dxa"/>
          </w:tcPr>
          <w:p w14:paraId="4579FA77" w14:textId="77777777" w:rsidR="00A722A2" w:rsidRPr="00C07A7E" w:rsidRDefault="00A722A2" w:rsidP="00610FD0">
            <w:pPr>
              <w:pStyle w:val="StandardWeb"/>
              <w:rPr>
                <w:rFonts w:ascii="Alkaios" w:hAnsi="Alkaios"/>
                <w:lang w:val="el-GR"/>
              </w:rPr>
            </w:pPr>
            <w:r w:rsidRPr="00C07A7E">
              <w:rPr>
                <w:rFonts w:ascii="Alkaios" w:hAnsi="Alkaios"/>
              </w:rPr>
              <w:t>XX</w:t>
            </w:r>
            <w:r w:rsidRPr="00C07A7E">
              <w:rPr>
                <w:rFonts w:ascii="Alkaios" w:hAnsi="Alkaios"/>
                <w:lang w:val="el-GR"/>
              </w:rPr>
              <w:t xml:space="preserve">. Ἡ μὲν σὰρξ ἀπέλαβε τὰ πέρατα τῆς ἡδονῆς ἄπειρα, καὶ ἄπειρος αὐτὴν χρόνος παρεσκεύασεν. ἡ δὲ διάνοια τοῦ τῆς σαρκὸς τέλους καὶ πέρατος λαβοῦσα τὸν ἐπιλογισμὸν καὶ τοὺς ὑπὲρ τοῦ αἰῶνος φόβους ἐκλύσασα τὸν παντελῆ βίον παρεσκεύασεν, καὶ οὐθὲν ἔτι τοῦ ἀπείρου χρόνου προσεδεήθημεν· ἀλλ' οὔτ' ἔφυγε τὴν ἡδονήν, οὔθ' ἡνίκα τὴν ἐξαγωγὴν ἐκ τοῦ ζῆν τὰ πράγματα παρεσκεύαζεν, ὡς ἐλλείπουσά τι τοῦ ἀρίστου βίου κατέστρεφεν. </w:t>
            </w:r>
          </w:p>
        </w:tc>
        <w:tc>
          <w:tcPr>
            <w:tcW w:w="4962" w:type="dxa"/>
          </w:tcPr>
          <w:p w14:paraId="40F53E6E" w14:textId="77777777" w:rsidR="00A722A2" w:rsidRPr="00A722A2" w:rsidRDefault="00A722A2" w:rsidP="00610FD0">
            <w:pPr>
              <w:pStyle w:val="StandardWeb"/>
              <w:rPr>
                <w:rFonts w:ascii="Alkaios" w:hAnsi="Alkaios"/>
                <w:lang w:val="el-GR"/>
              </w:rPr>
            </w:pPr>
          </w:p>
        </w:tc>
      </w:tr>
      <w:tr w:rsidR="00A722A2" w:rsidRPr="00C07A7E" w14:paraId="37C92CDC" w14:textId="1B68E88A" w:rsidTr="00A722A2">
        <w:trPr>
          <w:gridAfter w:val="1"/>
          <w:wAfter w:w="4820" w:type="dxa"/>
        </w:trPr>
        <w:tc>
          <w:tcPr>
            <w:tcW w:w="4962" w:type="dxa"/>
          </w:tcPr>
          <w:p w14:paraId="26522103" w14:textId="77777777" w:rsidR="00A722A2" w:rsidRPr="00C07A7E" w:rsidRDefault="00A722A2" w:rsidP="00610FD0">
            <w:pPr>
              <w:pStyle w:val="StandardWeb"/>
              <w:rPr>
                <w:rFonts w:ascii="Alkaios" w:hAnsi="Alkaios"/>
                <w:lang w:val="el-GR"/>
              </w:rPr>
            </w:pPr>
            <w:hyperlink r:id="rId14" w:anchor="p146" w:tooltip="Βίοι φιλοσόφων/Ι" w:history="1">
              <w:r w:rsidRPr="00C07A7E">
                <w:rPr>
                  <w:rStyle w:val="Hyperlink"/>
                  <w:rFonts w:ascii="Alkaios" w:hAnsi="Alkaios"/>
                  <w:lang w:val="el-GR"/>
                </w:rPr>
                <w:t>146</w:t>
              </w:r>
            </w:hyperlink>
            <w:r w:rsidRPr="00C07A7E">
              <w:rPr>
                <w:rFonts w:ascii="Alkaios" w:hAnsi="Alkaios"/>
                <w:lang w:val="el-GR"/>
              </w:rPr>
              <w:t xml:space="preserve"> </w:t>
            </w:r>
            <w:r w:rsidRPr="00C07A7E">
              <w:rPr>
                <w:rFonts w:ascii="Alkaios" w:hAnsi="Alkaios"/>
              </w:rPr>
              <w:t>XXI</w:t>
            </w:r>
            <w:r w:rsidRPr="00C07A7E">
              <w:rPr>
                <w:rFonts w:ascii="Alkaios" w:hAnsi="Alkaios"/>
                <w:lang w:val="el-GR"/>
              </w:rPr>
              <w:t xml:space="preserve">. Ὁ τὰ πέρατα τοῦ βίου κατειδὼς οἶδεν, ὡς εὐπόριστόν ἐστι τὸ &lt;τὸ&gt; ἀλγοῦν κατ' ἔνδειαν ἐξαιροῦν καὶ τὸ τὸν ὅλον βίον παντελῆ καθιστάν· ὥστε οὐδὲν προσδεῖται πραγμάτων ἀγῶνας κεκτημένων. </w:t>
            </w:r>
          </w:p>
        </w:tc>
        <w:tc>
          <w:tcPr>
            <w:tcW w:w="4962" w:type="dxa"/>
          </w:tcPr>
          <w:p w14:paraId="22ADC329" w14:textId="77777777" w:rsidR="00A722A2" w:rsidRPr="00C07A7E" w:rsidRDefault="00A722A2" w:rsidP="00610FD0">
            <w:pPr>
              <w:pStyle w:val="StandardWeb"/>
            </w:pPr>
          </w:p>
        </w:tc>
      </w:tr>
      <w:tr w:rsidR="00A722A2" w:rsidRPr="00C07A7E" w14:paraId="6A4DD129" w14:textId="7F24CB3D" w:rsidTr="00A722A2">
        <w:trPr>
          <w:gridAfter w:val="1"/>
          <w:wAfter w:w="4820" w:type="dxa"/>
        </w:trPr>
        <w:tc>
          <w:tcPr>
            <w:tcW w:w="4962" w:type="dxa"/>
          </w:tcPr>
          <w:p w14:paraId="3BCAB350" w14:textId="77777777" w:rsidR="00A722A2" w:rsidRPr="00C07A7E" w:rsidRDefault="00A722A2" w:rsidP="00610FD0">
            <w:pPr>
              <w:pStyle w:val="StandardWeb"/>
              <w:rPr>
                <w:rFonts w:ascii="Alkaios" w:hAnsi="Alkaios"/>
                <w:lang w:val="el-GR"/>
              </w:rPr>
            </w:pPr>
            <w:r w:rsidRPr="00C07A7E">
              <w:rPr>
                <w:rFonts w:ascii="Alkaios" w:hAnsi="Alkaios"/>
              </w:rPr>
              <w:lastRenderedPageBreak/>
              <w:t>XXII</w:t>
            </w:r>
            <w:r w:rsidRPr="00C07A7E">
              <w:rPr>
                <w:rFonts w:ascii="Alkaios" w:hAnsi="Alkaios"/>
                <w:lang w:val="el-GR"/>
              </w:rPr>
              <w:t xml:space="preserve">. Τὸ ὑφεστηκὸς δεῖ τέλος ἐπιλογίζεσθαι καὶ πᾶσαν τὴν ἐνάργειαν, ἐφ' ἣν τὰ δοξαζόμενα ἀνάγομεν· εἰ δὲ μή, πάντα ἀκρισίας καὶ ταραχῆς ἔσται μεστά. </w:t>
            </w:r>
          </w:p>
        </w:tc>
        <w:tc>
          <w:tcPr>
            <w:tcW w:w="4962" w:type="dxa"/>
          </w:tcPr>
          <w:p w14:paraId="4195F113" w14:textId="77777777" w:rsidR="00A722A2" w:rsidRPr="00C07A7E" w:rsidRDefault="00A722A2" w:rsidP="00610FD0">
            <w:pPr>
              <w:pStyle w:val="StandardWeb"/>
              <w:rPr>
                <w:rFonts w:ascii="Alkaios" w:hAnsi="Alkaios"/>
              </w:rPr>
            </w:pPr>
          </w:p>
        </w:tc>
      </w:tr>
      <w:tr w:rsidR="00A722A2" w:rsidRPr="00C07A7E" w14:paraId="216200D6" w14:textId="304E40F1" w:rsidTr="00A722A2">
        <w:trPr>
          <w:gridAfter w:val="1"/>
          <w:wAfter w:w="4820" w:type="dxa"/>
        </w:trPr>
        <w:tc>
          <w:tcPr>
            <w:tcW w:w="4962" w:type="dxa"/>
          </w:tcPr>
          <w:p w14:paraId="465E0E93" w14:textId="77777777" w:rsidR="00A722A2" w:rsidRPr="00C07A7E" w:rsidRDefault="00A722A2" w:rsidP="00610FD0">
            <w:pPr>
              <w:pStyle w:val="StandardWeb"/>
              <w:rPr>
                <w:rFonts w:ascii="Alkaios" w:hAnsi="Alkaios"/>
                <w:lang w:val="el-GR"/>
              </w:rPr>
            </w:pPr>
            <w:r w:rsidRPr="00C07A7E">
              <w:rPr>
                <w:rFonts w:ascii="Alkaios" w:hAnsi="Alkaios"/>
              </w:rPr>
              <w:t>XXIII</w:t>
            </w:r>
            <w:r w:rsidRPr="00C07A7E">
              <w:rPr>
                <w:rFonts w:ascii="Alkaios" w:hAnsi="Alkaios"/>
                <w:lang w:val="el-GR"/>
              </w:rPr>
              <w:t xml:space="preserve">. Εἰ μάχῃ πάσαις ταῖς αἰσθήσεσιν, οὐχ ἕξεις οὐδ' ἃς ἂν φῇς αὐτῶν διεψεῦσθαι πρὸς τί ποιούμενος τὴν ἀναγωγὴν κρίνῃς. </w:t>
            </w:r>
          </w:p>
        </w:tc>
        <w:tc>
          <w:tcPr>
            <w:tcW w:w="4962" w:type="dxa"/>
          </w:tcPr>
          <w:p w14:paraId="451E2BA0" w14:textId="77777777" w:rsidR="00A722A2" w:rsidRPr="00C07A7E" w:rsidRDefault="00A722A2" w:rsidP="00610FD0">
            <w:pPr>
              <w:pStyle w:val="StandardWeb"/>
              <w:rPr>
                <w:rFonts w:ascii="Alkaios" w:hAnsi="Alkaios"/>
              </w:rPr>
            </w:pPr>
          </w:p>
        </w:tc>
      </w:tr>
      <w:tr w:rsidR="00A722A2" w:rsidRPr="00C07A7E" w14:paraId="2FBF648F" w14:textId="317C7D4E" w:rsidTr="00A722A2">
        <w:trPr>
          <w:gridAfter w:val="1"/>
          <w:wAfter w:w="4820" w:type="dxa"/>
        </w:trPr>
        <w:tc>
          <w:tcPr>
            <w:tcW w:w="4962" w:type="dxa"/>
          </w:tcPr>
          <w:p w14:paraId="47C6C6A4" w14:textId="77777777" w:rsidR="00A722A2" w:rsidRPr="00C07A7E" w:rsidRDefault="00A722A2" w:rsidP="00610FD0">
            <w:pPr>
              <w:pStyle w:val="StandardWeb"/>
              <w:rPr>
                <w:rFonts w:ascii="Alkaios" w:hAnsi="Alkaios"/>
                <w:lang w:val="el-GR"/>
              </w:rPr>
            </w:pPr>
            <w:hyperlink r:id="rId15" w:anchor="p147" w:tooltip="Βίοι φιλοσόφων/Ι" w:history="1">
              <w:r w:rsidRPr="00C07A7E">
                <w:rPr>
                  <w:rStyle w:val="Hyperlink"/>
                  <w:rFonts w:ascii="Alkaios" w:hAnsi="Alkaios"/>
                  <w:lang w:val="el-GR"/>
                </w:rPr>
                <w:t>147</w:t>
              </w:r>
            </w:hyperlink>
            <w:r w:rsidRPr="00C07A7E">
              <w:rPr>
                <w:rFonts w:ascii="Alkaios" w:hAnsi="Alkaios"/>
                <w:lang w:val="el-GR"/>
              </w:rPr>
              <w:t xml:space="preserve">} </w:t>
            </w:r>
            <w:r w:rsidRPr="00C07A7E">
              <w:rPr>
                <w:rFonts w:ascii="Alkaios" w:hAnsi="Alkaios"/>
              </w:rPr>
              <w:t>XXIV</w:t>
            </w:r>
            <w:r w:rsidRPr="00C07A7E">
              <w:rPr>
                <w:rFonts w:ascii="Alkaios" w:hAnsi="Alkaios"/>
                <w:lang w:val="el-GR"/>
              </w:rPr>
              <w:t xml:space="preserve">. Εἴ τιν' ἐκβαλεῖς ἁπλῶς αἴσθησιν καὶ μὴ διαιρήσεις τὸ δοξαζόμενον κατὰ τὸ προσμένον καὶ τὸ παρὸν ἤδη κατὰ τὴν αἴσθησιν καὶ τὰ πάθη καὶ πᾶσαν φανταστικὴν ἐπιβολὴν τῆς διανοίας, συνταράξεις καὶ τὰς λοιπὰς αἰσθήσεις τῇ ματαίῳ δόξῃ, ὥστε τὸ κριτήριον ἅπαν ἐκβαλεῖς. εἰ δὲ βεβαιώσεις καὶ τὸ προσμένον ἅπαν ἐν ταῖς δοξαστικαῖς ἐννοίαις καὶ τὸ μὴ τὴν ἐπιμαρτύρησιν, οὐκ ἐκλείψεις τὸ διεψευσμένον· ὡς τετηρηκὼς ἔσῃ πᾶσαν ἀμφισβήτησιν κατὰ πᾶσαν κρίσιν τοῦ ὀρθῶς ἢ μὴ ὀρθῶς. </w:t>
            </w:r>
          </w:p>
        </w:tc>
        <w:tc>
          <w:tcPr>
            <w:tcW w:w="4962" w:type="dxa"/>
          </w:tcPr>
          <w:p w14:paraId="0FDFED8F" w14:textId="77777777" w:rsidR="00A722A2" w:rsidRPr="00C07A7E" w:rsidRDefault="00A722A2" w:rsidP="00610FD0">
            <w:pPr>
              <w:pStyle w:val="StandardWeb"/>
            </w:pPr>
          </w:p>
        </w:tc>
      </w:tr>
      <w:tr w:rsidR="00A722A2" w:rsidRPr="00C07A7E" w14:paraId="72F4C98B" w14:textId="1CA940B9" w:rsidTr="00A722A2">
        <w:trPr>
          <w:gridAfter w:val="1"/>
          <w:wAfter w:w="4820" w:type="dxa"/>
        </w:trPr>
        <w:tc>
          <w:tcPr>
            <w:tcW w:w="4962" w:type="dxa"/>
          </w:tcPr>
          <w:p w14:paraId="5C8199C4" w14:textId="77777777" w:rsidR="00A722A2" w:rsidRPr="00C07A7E" w:rsidRDefault="00A722A2" w:rsidP="00610FD0">
            <w:pPr>
              <w:pStyle w:val="StandardWeb"/>
              <w:rPr>
                <w:rFonts w:ascii="Alkaios" w:hAnsi="Alkaios"/>
                <w:lang w:val="el-GR"/>
              </w:rPr>
            </w:pPr>
            <w:hyperlink r:id="rId16" w:anchor="p148" w:tooltip="Βίοι φιλοσόφων/Ι" w:history="1">
              <w:r w:rsidRPr="00C07A7E">
                <w:rPr>
                  <w:rStyle w:val="Hyperlink"/>
                  <w:rFonts w:ascii="Alkaios" w:hAnsi="Alkaios"/>
                  <w:lang w:val="el-GR"/>
                </w:rPr>
                <w:t>148</w:t>
              </w:r>
            </w:hyperlink>
            <w:r w:rsidRPr="00C07A7E">
              <w:rPr>
                <w:rFonts w:ascii="Alkaios" w:hAnsi="Alkaios"/>
                <w:lang w:val="el-GR"/>
              </w:rPr>
              <w:t xml:space="preserve"> </w:t>
            </w:r>
            <w:r w:rsidRPr="00C07A7E">
              <w:rPr>
                <w:rFonts w:ascii="Alkaios" w:hAnsi="Alkaios"/>
              </w:rPr>
              <w:t>XXV</w:t>
            </w:r>
            <w:r w:rsidRPr="00C07A7E">
              <w:rPr>
                <w:rFonts w:ascii="Alkaios" w:hAnsi="Alkaios"/>
                <w:lang w:val="el-GR"/>
              </w:rPr>
              <w:t xml:space="preserve">. Εἰ μὴ παρὰ πάντα καιρὸν ἐπανοίσεις ἕκαστον τῶν πραττομένων ἐπὶ τὸ τέλος τῆς φύσεως, ἀλλὰ προκαταστρέψεις εἴτε φυγὴν εἴτε δίωξιν ποιούμενος εἰς ἄλλο τι, οὐκ ἔσονταί σοι τοῖς λόγοις αἱ πράξεις ἀκόλουθοι. </w:t>
            </w:r>
          </w:p>
        </w:tc>
        <w:tc>
          <w:tcPr>
            <w:tcW w:w="4962" w:type="dxa"/>
          </w:tcPr>
          <w:p w14:paraId="2424AE68" w14:textId="77777777" w:rsidR="00A722A2" w:rsidRPr="00C07A7E" w:rsidRDefault="00A722A2" w:rsidP="00610FD0">
            <w:pPr>
              <w:pStyle w:val="StandardWeb"/>
            </w:pPr>
          </w:p>
        </w:tc>
      </w:tr>
      <w:tr w:rsidR="00A722A2" w:rsidRPr="00C07A7E" w14:paraId="6CDCA138" w14:textId="2E43A446" w:rsidTr="00A722A2">
        <w:trPr>
          <w:gridAfter w:val="1"/>
          <w:wAfter w:w="4820" w:type="dxa"/>
        </w:trPr>
        <w:tc>
          <w:tcPr>
            <w:tcW w:w="4962" w:type="dxa"/>
          </w:tcPr>
          <w:p w14:paraId="33E4D56E" w14:textId="77777777" w:rsidR="00A722A2" w:rsidRPr="00C07A7E" w:rsidRDefault="00A722A2" w:rsidP="00610FD0">
            <w:pPr>
              <w:pStyle w:val="StandardWeb"/>
              <w:rPr>
                <w:rFonts w:ascii="Alkaios" w:hAnsi="Alkaios"/>
                <w:lang w:val="el-GR"/>
              </w:rPr>
            </w:pPr>
            <w:r w:rsidRPr="00C07A7E">
              <w:rPr>
                <w:rFonts w:ascii="Alkaios" w:hAnsi="Alkaios"/>
              </w:rPr>
              <w:t>XXVI</w:t>
            </w:r>
            <w:r w:rsidRPr="00C07A7E">
              <w:rPr>
                <w:rFonts w:ascii="Alkaios" w:hAnsi="Alkaios"/>
                <w:lang w:val="el-GR"/>
              </w:rPr>
              <w:t xml:space="preserve">. Τῶν ἐπιθυμιῶν ὅσαι μὴ ἐπ' ἀλγοῦν ἐπανάγουσιν ἐὰν μὴ συμπληρωθῶσιν οὐκ εἰσὶν ἀναγκαῖαι ἀλλ' εὐδιάχυτον τὴν ὄρεξιν ἔχουσιν, ὅταν δυσπόριστοι ἢ βλάβης ἀπεργαστικαὶ δόξωσιν εἶναι. </w:t>
            </w:r>
          </w:p>
        </w:tc>
        <w:tc>
          <w:tcPr>
            <w:tcW w:w="4962" w:type="dxa"/>
          </w:tcPr>
          <w:p w14:paraId="7401D8C2" w14:textId="77777777" w:rsidR="00A722A2" w:rsidRPr="00C07A7E" w:rsidRDefault="00A722A2" w:rsidP="00610FD0">
            <w:pPr>
              <w:pStyle w:val="StandardWeb"/>
              <w:rPr>
                <w:rFonts w:ascii="Alkaios" w:hAnsi="Alkaios"/>
              </w:rPr>
            </w:pPr>
          </w:p>
        </w:tc>
      </w:tr>
      <w:tr w:rsidR="00A722A2" w:rsidRPr="00C07A7E" w14:paraId="16D14C79" w14:textId="05E587B0" w:rsidTr="00A722A2">
        <w:trPr>
          <w:gridAfter w:val="1"/>
          <w:wAfter w:w="4820" w:type="dxa"/>
        </w:trPr>
        <w:tc>
          <w:tcPr>
            <w:tcW w:w="4962" w:type="dxa"/>
          </w:tcPr>
          <w:p w14:paraId="6721CD63" w14:textId="77777777" w:rsidR="00A722A2" w:rsidRPr="00C07A7E" w:rsidRDefault="00A722A2" w:rsidP="00610FD0">
            <w:pPr>
              <w:pStyle w:val="StandardWeb"/>
              <w:rPr>
                <w:rFonts w:ascii="Alkaios" w:hAnsi="Alkaios"/>
                <w:lang w:val="el-GR"/>
              </w:rPr>
            </w:pPr>
            <w:r w:rsidRPr="00C07A7E">
              <w:rPr>
                <w:rFonts w:ascii="Alkaios" w:hAnsi="Alkaios"/>
              </w:rPr>
              <w:t>XXVII</w:t>
            </w:r>
            <w:r w:rsidRPr="00C07A7E">
              <w:rPr>
                <w:rFonts w:ascii="Alkaios" w:hAnsi="Alkaios"/>
                <w:lang w:val="el-GR"/>
              </w:rPr>
              <w:t xml:space="preserve">. Ὧν ἡ σοφία παρασκευάζεται εἰς τὴν τοῦ ὅλου βίου μακαριότητα, πολὺ μέγιστόν ἐστιν ἡ τῆς φιλίας κτῆσις. </w:t>
            </w:r>
          </w:p>
        </w:tc>
        <w:tc>
          <w:tcPr>
            <w:tcW w:w="4962" w:type="dxa"/>
          </w:tcPr>
          <w:p w14:paraId="51930C21" w14:textId="77777777" w:rsidR="00A722A2" w:rsidRPr="00C07A7E" w:rsidRDefault="00A722A2" w:rsidP="00610FD0">
            <w:pPr>
              <w:pStyle w:val="StandardWeb"/>
              <w:rPr>
                <w:rFonts w:ascii="Alkaios" w:hAnsi="Alkaios"/>
              </w:rPr>
            </w:pPr>
          </w:p>
        </w:tc>
      </w:tr>
      <w:tr w:rsidR="00A722A2" w:rsidRPr="00C07A7E" w14:paraId="2DCC9093" w14:textId="114539BD" w:rsidTr="00A722A2">
        <w:trPr>
          <w:gridAfter w:val="1"/>
          <w:wAfter w:w="4820" w:type="dxa"/>
        </w:trPr>
        <w:tc>
          <w:tcPr>
            <w:tcW w:w="4962" w:type="dxa"/>
          </w:tcPr>
          <w:p w14:paraId="766F7AF2" w14:textId="77777777" w:rsidR="00A722A2" w:rsidRPr="00C07A7E" w:rsidRDefault="00A722A2" w:rsidP="00610FD0">
            <w:pPr>
              <w:pStyle w:val="StandardWeb"/>
              <w:rPr>
                <w:rFonts w:ascii="Alkaios" w:hAnsi="Alkaios"/>
                <w:lang w:val="el-GR"/>
              </w:rPr>
            </w:pPr>
            <w:r w:rsidRPr="00C07A7E">
              <w:rPr>
                <w:rFonts w:ascii="Alkaios" w:hAnsi="Alkaios"/>
              </w:rPr>
              <w:t>XXVIII</w:t>
            </w:r>
            <w:r w:rsidRPr="00C07A7E">
              <w:rPr>
                <w:rFonts w:ascii="Alkaios" w:hAnsi="Alkaios"/>
                <w:lang w:val="el-GR"/>
              </w:rPr>
              <w:t xml:space="preserve">. Ἡ αὐτὴ γνώμη θαρρεῖν τε ἐποίησεν ὑπὲρ τοῦ μηθὲν αἰώνιον εἶναι δεινὸν μηδὲ πολυχρόνιον, καὶ τὴν ἐν αὐτοῖς τοῖς ὡρισμένοις ἀσφάλειαν φιλίας μάλιστα κατεῖδε συντελουμένην. </w:t>
            </w:r>
          </w:p>
        </w:tc>
        <w:tc>
          <w:tcPr>
            <w:tcW w:w="4962" w:type="dxa"/>
          </w:tcPr>
          <w:p w14:paraId="27C4C2C8" w14:textId="77777777" w:rsidR="00A722A2" w:rsidRPr="00C07A7E" w:rsidRDefault="00A722A2" w:rsidP="00610FD0">
            <w:pPr>
              <w:pStyle w:val="StandardWeb"/>
              <w:rPr>
                <w:rFonts w:ascii="Alkaios" w:hAnsi="Alkaios"/>
              </w:rPr>
            </w:pPr>
          </w:p>
        </w:tc>
      </w:tr>
      <w:tr w:rsidR="00A722A2" w:rsidRPr="00C07A7E" w14:paraId="0C54D465" w14:textId="42713232" w:rsidTr="00A722A2">
        <w:trPr>
          <w:gridAfter w:val="1"/>
          <w:wAfter w:w="4820" w:type="dxa"/>
        </w:trPr>
        <w:tc>
          <w:tcPr>
            <w:tcW w:w="4962" w:type="dxa"/>
          </w:tcPr>
          <w:p w14:paraId="1BD31838" w14:textId="77777777" w:rsidR="00A722A2" w:rsidRPr="00C07A7E" w:rsidRDefault="00A722A2" w:rsidP="00610FD0">
            <w:pPr>
              <w:pStyle w:val="StandardWeb"/>
              <w:rPr>
                <w:rFonts w:ascii="Alkaios" w:hAnsi="Alkaios"/>
                <w:lang w:val="el-GR"/>
              </w:rPr>
            </w:pPr>
            <w:hyperlink r:id="rId17" w:anchor="p149" w:tooltip="Βίοι φιλοσόφων/Ι" w:history="1">
              <w:r w:rsidRPr="00C07A7E">
                <w:rPr>
                  <w:rStyle w:val="Hyperlink"/>
                  <w:rFonts w:ascii="Alkaios" w:hAnsi="Alkaios"/>
                  <w:lang w:val="el-GR"/>
                </w:rPr>
                <w:t>149</w:t>
              </w:r>
            </w:hyperlink>
            <w:r w:rsidRPr="00C07A7E">
              <w:rPr>
                <w:rFonts w:ascii="Alkaios" w:hAnsi="Alkaios"/>
                <w:lang w:val="el-GR"/>
              </w:rPr>
              <w:t xml:space="preserve"> </w:t>
            </w:r>
            <w:r w:rsidRPr="00C07A7E">
              <w:rPr>
                <w:rFonts w:ascii="Alkaios" w:hAnsi="Alkaios"/>
              </w:rPr>
              <w:t>XXIX</w:t>
            </w:r>
            <w:r w:rsidRPr="00C07A7E">
              <w:rPr>
                <w:rFonts w:ascii="Alkaios" w:hAnsi="Alkaios"/>
                <w:lang w:val="el-GR"/>
              </w:rPr>
              <w:t>. Τῶν ἐπιθυμιῶν αἱ μέν εἰσι φυσικαὶ καὶ &lt;ἀναγκαῖαι· αἱ δὲ φυσικαὶ καὶ&gt; οὐκ ἀναγκαῖαι· αἱ δὲ οὔτε φυσικαὶ οὔτ' ἀναγκαῖαι ἀλλὰ παρὰ κενὴν δόξαν γινόμεναι. [</w:t>
            </w:r>
            <w:r w:rsidRPr="00C07A7E">
              <w:rPr>
                <w:rStyle w:val="Funotenzeichen"/>
                <w:rFonts w:ascii="Alkaios" w:hAnsi="Alkaios"/>
                <w:lang w:val="el-GR"/>
              </w:rPr>
              <w:footnoteReference w:id="10"/>
            </w:r>
            <w:r w:rsidRPr="00C07A7E">
              <w:rPr>
                <w:rFonts w:ascii="Alkaios" w:hAnsi="Alkaios"/>
                <w:lang w:val="el-GR"/>
              </w:rPr>
              <w:t xml:space="preserve">φυσικὰς </w:t>
            </w:r>
            <w:r w:rsidRPr="00C07A7E">
              <w:rPr>
                <w:rFonts w:ascii="Alkaios" w:hAnsi="Alkaios"/>
                <w:lang w:val="el-GR"/>
              </w:rPr>
              <w:lastRenderedPageBreak/>
              <w:t xml:space="preserve">καὶ ἀναγκαίας ἡγεῖται ὁ Ἐπίκουρος τὰς ἀλγηδόνος ἀπολυούσας, ὡς ποτὸν ἐπὶ δίψους· φυσικὰς δὲ οὐκ ἀναγκαίας δὲ τὰς ποικιλλούσας μόνον τὴν ἡδονήν, μὴ ὑπεξαιρουμένας δὲ τὸ ἄλγημα, ὡς πολυτελῆ σιτία· οὔτε δὲ φυσικὰς οὔτ' ἀναγκαίας, ὡς στεφάνους καὶ ἀνδριάντων ἀναθέσεις.] </w:t>
            </w:r>
          </w:p>
        </w:tc>
        <w:tc>
          <w:tcPr>
            <w:tcW w:w="4962" w:type="dxa"/>
          </w:tcPr>
          <w:p w14:paraId="0B9F8335" w14:textId="77777777" w:rsidR="00A722A2" w:rsidRPr="00C07A7E" w:rsidRDefault="00A722A2" w:rsidP="00610FD0">
            <w:pPr>
              <w:pStyle w:val="StandardWeb"/>
            </w:pPr>
          </w:p>
        </w:tc>
      </w:tr>
      <w:tr w:rsidR="00A722A2" w:rsidRPr="00C07A7E" w14:paraId="104EFE17" w14:textId="01792FF8" w:rsidTr="00A722A2">
        <w:trPr>
          <w:gridAfter w:val="1"/>
          <w:wAfter w:w="4820" w:type="dxa"/>
        </w:trPr>
        <w:tc>
          <w:tcPr>
            <w:tcW w:w="4962" w:type="dxa"/>
          </w:tcPr>
          <w:p w14:paraId="2D64D513" w14:textId="77777777" w:rsidR="00A722A2" w:rsidRPr="00C07A7E" w:rsidRDefault="00A722A2" w:rsidP="00610FD0">
            <w:pPr>
              <w:pStyle w:val="StandardWeb"/>
              <w:rPr>
                <w:rFonts w:ascii="Alkaios" w:hAnsi="Alkaios"/>
                <w:lang w:val="el-GR"/>
              </w:rPr>
            </w:pPr>
            <w:r w:rsidRPr="00C07A7E">
              <w:rPr>
                <w:rFonts w:ascii="Alkaios" w:hAnsi="Alkaios"/>
              </w:rPr>
              <w:t>XXX</w:t>
            </w:r>
            <w:r w:rsidRPr="00C07A7E">
              <w:rPr>
                <w:rFonts w:ascii="Alkaios" w:hAnsi="Alkaios"/>
                <w:lang w:val="el-GR"/>
              </w:rPr>
              <w:t xml:space="preserve">. Ἐν αἷς τῶν φυσικῶν ἐπιθυμιῶν, μὴ ἐπ' ἀλγοῦν δὲ ἐπαναγουσῶν ἐὰν μὴ συντελεσθῶσιν, ὑπάρχει ἡ σπουδὴ σύντονος, παρὰ κενὴν δόξαν αὗται γίνονται καὶ οὐ παρὰ τὴν ἑαυτῶν φύσιν οὐ διαχέονται ἀλλὰ παρὰ τὴν τοῦ ἀνθρώπου κενοδοξίαν. </w:t>
            </w:r>
          </w:p>
        </w:tc>
        <w:tc>
          <w:tcPr>
            <w:tcW w:w="4962" w:type="dxa"/>
          </w:tcPr>
          <w:p w14:paraId="2131FAE9" w14:textId="77777777" w:rsidR="00A722A2" w:rsidRPr="00A722A2" w:rsidRDefault="00A722A2" w:rsidP="00610FD0">
            <w:pPr>
              <w:pStyle w:val="StandardWeb"/>
              <w:rPr>
                <w:rFonts w:ascii="Alkaios" w:hAnsi="Alkaios"/>
                <w:lang w:val="el-GR"/>
              </w:rPr>
            </w:pPr>
          </w:p>
        </w:tc>
      </w:tr>
      <w:tr w:rsidR="00A722A2" w:rsidRPr="00BE2707" w14:paraId="15405ABF" w14:textId="7407758B" w:rsidTr="00A722A2">
        <w:tc>
          <w:tcPr>
            <w:tcW w:w="4962" w:type="dxa"/>
          </w:tcPr>
          <w:p w14:paraId="0E4C03F4" w14:textId="7C0B667E" w:rsidR="00A722A2" w:rsidRPr="00340F45" w:rsidRDefault="00A722A2" w:rsidP="000569A8">
            <w:pPr>
              <w:pStyle w:val="StandardWeb"/>
              <w:ind w:left="-108" w:right="-103"/>
              <w:rPr>
                <w:rFonts w:ascii="Alkaios" w:hAnsi="Alkaios"/>
                <w:lang w:val="el-GR"/>
              </w:rPr>
            </w:pPr>
            <w:hyperlink r:id="rId18" w:anchor="p150" w:tooltip="Βίοι φιλοσόφων/Ι" w:history="1">
              <w:r w:rsidRPr="00340F45">
                <w:rPr>
                  <w:rStyle w:val="Hyperlink"/>
                  <w:rFonts w:ascii="Alkaios" w:hAnsi="Alkaios"/>
                  <w:lang w:val="el-GR"/>
                </w:rPr>
                <w:t>150</w:t>
              </w:r>
            </w:hyperlink>
            <w:r w:rsidRPr="00340F45">
              <w:rPr>
                <w:rFonts w:ascii="Alkaios" w:hAnsi="Alkaios"/>
                <w:lang w:val="el-GR"/>
              </w:rPr>
              <w:t xml:space="preserve"> </w:t>
            </w:r>
            <w:r w:rsidRPr="00340F45">
              <w:rPr>
                <w:rFonts w:ascii="Alkaios" w:hAnsi="Alkaios"/>
              </w:rPr>
              <w:t>XXXI</w:t>
            </w:r>
            <w:r w:rsidRPr="00340F45">
              <w:rPr>
                <w:rFonts w:ascii="Alkaios" w:hAnsi="Alkaios"/>
                <w:lang w:val="el-GR"/>
              </w:rPr>
              <w:t>. Τὸ τῆς φύσεως</w:t>
            </w:r>
            <w:r>
              <w:rPr>
                <w:rStyle w:val="Funotenzeichen"/>
                <w:rFonts w:ascii="Alkaios" w:hAnsi="Alkaios"/>
                <w:lang w:val="el-GR"/>
              </w:rPr>
              <w:footnoteReference w:id="11"/>
            </w:r>
            <w:r w:rsidRPr="00340F45">
              <w:rPr>
                <w:rFonts w:ascii="Alkaios" w:hAnsi="Alkaios"/>
                <w:lang w:val="el-GR"/>
              </w:rPr>
              <w:t xml:space="preserve"> δίκαιόν ἐστι σύμβολον τοῦ συμφέροντος εἰς τὸ μὴ βλάπτειν ἀλλήλους μηδὲ βλάπτεσθαι. </w:t>
            </w:r>
          </w:p>
        </w:tc>
        <w:tc>
          <w:tcPr>
            <w:tcW w:w="4962" w:type="dxa"/>
          </w:tcPr>
          <w:p w14:paraId="0D8959EC" w14:textId="77777777" w:rsidR="00A722A2" w:rsidRPr="00340F45" w:rsidRDefault="00A722A2" w:rsidP="007E3272">
            <w:pPr>
              <w:pStyle w:val="StandardWeb"/>
              <w:rPr>
                <w:lang w:val="el-GR"/>
              </w:rPr>
            </w:pPr>
          </w:p>
        </w:tc>
        <w:tc>
          <w:tcPr>
            <w:tcW w:w="4820" w:type="dxa"/>
          </w:tcPr>
          <w:p w14:paraId="5D353CF8" w14:textId="157390DE" w:rsidR="00A722A2" w:rsidRPr="00340F45" w:rsidRDefault="00A722A2" w:rsidP="007E3272">
            <w:pPr>
              <w:pStyle w:val="StandardWeb"/>
              <w:rPr>
                <w:lang w:val="el-GR"/>
              </w:rPr>
            </w:pPr>
          </w:p>
        </w:tc>
      </w:tr>
      <w:tr w:rsidR="00A722A2" w:rsidRPr="00BE2707" w14:paraId="72A32BF9" w14:textId="5E70F073" w:rsidTr="00A722A2">
        <w:tc>
          <w:tcPr>
            <w:tcW w:w="4962" w:type="dxa"/>
          </w:tcPr>
          <w:p w14:paraId="60E60037" w14:textId="77777777" w:rsidR="00A722A2" w:rsidRPr="00340F45" w:rsidRDefault="00A722A2" w:rsidP="000569A8">
            <w:pPr>
              <w:pStyle w:val="StandardWeb"/>
              <w:ind w:left="-108" w:right="-103"/>
              <w:rPr>
                <w:rFonts w:ascii="Alkaios" w:hAnsi="Alkaios"/>
                <w:lang w:val="el-GR"/>
              </w:rPr>
            </w:pPr>
            <w:r w:rsidRPr="00340F45">
              <w:rPr>
                <w:rFonts w:ascii="Alkaios" w:hAnsi="Alkaios"/>
              </w:rPr>
              <w:t>XXXII</w:t>
            </w:r>
            <w:r w:rsidRPr="00340F45">
              <w:rPr>
                <w:rFonts w:ascii="Alkaios" w:hAnsi="Alkaios"/>
                <w:lang w:val="el-GR"/>
              </w:rPr>
              <w:t xml:space="preserve">. Ὅσα τῶν ζῴων μὴ ἐδύνατο συνθήκας ποιεῖσθαι τὰς ὑπὲρ τοῦ μὴ βλάπτειν ἄλληλα μηδὲ βλάπτεσθαι, πρὸς ταῦτα οὐθὲν ἦν δίκαιον οὐδὲ ἄδικον. ὡσαύτως δὲ καὶ τῶν ἐθνῶν ὅσα μὴ ἐδύνατο ἢ μὴ ἐβούλετο τὰς συνθήκας ποιεῖσθαι τὰς ὑπὲρ τοῦ μὴ βλάπτειν μηδὲ βλάπτεσθαι. </w:t>
            </w:r>
          </w:p>
        </w:tc>
        <w:tc>
          <w:tcPr>
            <w:tcW w:w="4962" w:type="dxa"/>
          </w:tcPr>
          <w:p w14:paraId="0F110B09" w14:textId="77777777" w:rsidR="00A722A2" w:rsidRPr="00340F45" w:rsidRDefault="00A722A2" w:rsidP="007E3272">
            <w:pPr>
              <w:pStyle w:val="StandardWeb"/>
              <w:rPr>
                <w:rFonts w:ascii="Alkaios" w:hAnsi="Alkaios"/>
                <w:lang w:val="el-GR"/>
              </w:rPr>
            </w:pPr>
          </w:p>
        </w:tc>
        <w:tc>
          <w:tcPr>
            <w:tcW w:w="4820" w:type="dxa"/>
          </w:tcPr>
          <w:p w14:paraId="2DC55D5F" w14:textId="694B7694" w:rsidR="00A722A2" w:rsidRPr="00340F45" w:rsidRDefault="00A722A2" w:rsidP="007E3272">
            <w:pPr>
              <w:pStyle w:val="StandardWeb"/>
              <w:rPr>
                <w:rFonts w:ascii="Alkaios" w:hAnsi="Alkaios"/>
                <w:lang w:val="el-GR"/>
              </w:rPr>
            </w:pPr>
          </w:p>
        </w:tc>
      </w:tr>
      <w:tr w:rsidR="00A722A2" w:rsidRPr="00BE2707" w14:paraId="00238F6D" w14:textId="079BC714" w:rsidTr="00A722A2">
        <w:tc>
          <w:tcPr>
            <w:tcW w:w="4962" w:type="dxa"/>
          </w:tcPr>
          <w:p w14:paraId="78DAE22B" w14:textId="77777777" w:rsidR="00A722A2" w:rsidRPr="00340F45" w:rsidRDefault="00A722A2" w:rsidP="000569A8">
            <w:pPr>
              <w:pStyle w:val="StandardWeb"/>
              <w:ind w:left="-108" w:right="-103"/>
              <w:rPr>
                <w:rFonts w:ascii="Alkaios" w:hAnsi="Alkaios"/>
                <w:lang w:val="el-GR"/>
              </w:rPr>
            </w:pPr>
            <w:r w:rsidRPr="00340F45">
              <w:rPr>
                <w:rFonts w:ascii="Alkaios" w:hAnsi="Alkaios"/>
              </w:rPr>
              <w:t>XXXIII</w:t>
            </w:r>
            <w:r w:rsidRPr="00340F45">
              <w:rPr>
                <w:rFonts w:ascii="Alkaios" w:hAnsi="Alkaios"/>
                <w:lang w:val="el-GR"/>
              </w:rPr>
              <w:t xml:space="preserve">. Οὐκ ἦν τι καθ' ἑαυτὸ δικαιοσύνη, ἀλλ' ἐν ταῖς μετ' ἀλλήλων συστροφαῖς καθ' ὁπηλίκους δή ποτε ἀεὶ τόπους συνθήκη τις ὑπὲρ τοῦ μὴ βλάπτειν ἢ βλάπτεσθαι. </w:t>
            </w:r>
          </w:p>
        </w:tc>
        <w:tc>
          <w:tcPr>
            <w:tcW w:w="4962" w:type="dxa"/>
          </w:tcPr>
          <w:p w14:paraId="23A64EE6" w14:textId="77777777" w:rsidR="00A722A2" w:rsidRPr="00340F45" w:rsidRDefault="00A722A2" w:rsidP="007E3272">
            <w:pPr>
              <w:pStyle w:val="StandardWeb"/>
              <w:rPr>
                <w:rFonts w:ascii="Alkaios" w:hAnsi="Alkaios"/>
                <w:lang w:val="el-GR"/>
              </w:rPr>
            </w:pPr>
          </w:p>
        </w:tc>
        <w:tc>
          <w:tcPr>
            <w:tcW w:w="4820" w:type="dxa"/>
          </w:tcPr>
          <w:p w14:paraId="7E30FB44" w14:textId="1BE10C6C" w:rsidR="00A722A2" w:rsidRPr="00340F45" w:rsidRDefault="00A722A2" w:rsidP="007E3272">
            <w:pPr>
              <w:pStyle w:val="StandardWeb"/>
              <w:rPr>
                <w:rFonts w:ascii="Alkaios" w:hAnsi="Alkaios"/>
                <w:lang w:val="el-GR"/>
              </w:rPr>
            </w:pPr>
          </w:p>
        </w:tc>
      </w:tr>
      <w:tr w:rsidR="00A722A2" w:rsidRPr="00BE2707" w14:paraId="4E9BD72A" w14:textId="382457F7" w:rsidTr="00A722A2">
        <w:tc>
          <w:tcPr>
            <w:tcW w:w="4962" w:type="dxa"/>
          </w:tcPr>
          <w:p w14:paraId="6F41E930" w14:textId="77777777" w:rsidR="00A722A2" w:rsidRPr="00340F45" w:rsidRDefault="00A722A2" w:rsidP="000569A8">
            <w:pPr>
              <w:pStyle w:val="StandardWeb"/>
              <w:ind w:left="-108" w:right="-103"/>
              <w:rPr>
                <w:rFonts w:ascii="Alkaios" w:hAnsi="Alkaios"/>
                <w:lang w:val="el-GR"/>
              </w:rPr>
            </w:pPr>
            <w:hyperlink r:id="rId19" w:anchor="p151" w:tooltip="Βίοι φιλοσόφων/Ι" w:history="1">
              <w:r w:rsidRPr="00340F45">
                <w:rPr>
                  <w:rStyle w:val="Hyperlink"/>
                  <w:rFonts w:ascii="Alkaios" w:hAnsi="Alkaios"/>
                  <w:lang w:val="el-GR"/>
                </w:rPr>
                <w:t>151</w:t>
              </w:r>
            </w:hyperlink>
            <w:r w:rsidRPr="00340F45">
              <w:rPr>
                <w:rFonts w:ascii="Alkaios" w:hAnsi="Alkaios"/>
                <w:lang w:val="el-GR"/>
              </w:rPr>
              <w:t xml:space="preserve"> </w:t>
            </w:r>
            <w:r w:rsidRPr="00340F45">
              <w:rPr>
                <w:rFonts w:ascii="Alkaios" w:hAnsi="Alkaios"/>
              </w:rPr>
              <w:t>XXXIV</w:t>
            </w:r>
            <w:r w:rsidRPr="00340F45">
              <w:rPr>
                <w:rFonts w:ascii="Alkaios" w:hAnsi="Alkaios"/>
                <w:lang w:val="el-GR"/>
              </w:rPr>
              <w:t xml:space="preserve">. Ἡ ἀδικία οὐ καθ' ἑαυτὴν κακόν, ἀλλ' ἐν τῷ κατὰ τὴν ὑποψίαν φόβῳ εἰ μὴ λήσει τοὺς ὑπὲρ τῶν τοιούτων ἐφεστηκότας κολαστάς. </w:t>
            </w:r>
          </w:p>
        </w:tc>
        <w:tc>
          <w:tcPr>
            <w:tcW w:w="4962" w:type="dxa"/>
          </w:tcPr>
          <w:p w14:paraId="72DB8027" w14:textId="77777777" w:rsidR="00A722A2" w:rsidRPr="00340F45" w:rsidRDefault="00A722A2" w:rsidP="007E3272">
            <w:pPr>
              <w:pStyle w:val="StandardWeb"/>
              <w:rPr>
                <w:lang w:val="el-GR"/>
              </w:rPr>
            </w:pPr>
          </w:p>
        </w:tc>
        <w:tc>
          <w:tcPr>
            <w:tcW w:w="4820" w:type="dxa"/>
          </w:tcPr>
          <w:p w14:paraId="654F66BC" w14:textId="3E2D81DB" w:rsidR="00A722A2" w:rsidRPr="00340F45" w:rsidRDefault="00A722A2" w:rsidP="007E3272">
            <w:pPr>
              <w:pStyle w:val="StandardWeb"/>
              <w:rPr>
                <w:lang w:val="el-GR"/>
              </w:rPr>
            </w:pPr>
          </w:p>
        </w:tc>
      </w:tr>
      <w:tr w:rsidR="00A722A2" w:rsidRPr="00BE2707" w14:paraId="7A17F40A" w14:textId="3225297E" w:rsidTr="00A722A2">
        <w:tc>
          <w:tcPr>
            <w:tcW w:w="4962" w:type="dxa"/>
          </w:tcPr>
          <w:p w14:paraId="4B9A50BB" w14:textId="77777777" w:rsidR="00A722A2" w:rsidRPr="00340F45" w:rsidRDefault="00A722A2" w:rsidP="000569A8">
            <w:pPr>
              <w:pStyle w:val="StandardWeb"/>
              <w:ind w:left="-108" w:right="-103"/>
              <w:rPr>
                <w:rFonts w:ascii="Alkaios" w:hAnsi="Alkaios"/>
                <w:lang w:val="el-GR"/>
              </w:rPr>
            </w:pPr>
            <w:r w:rsidRPr="00340F45">
              <w:rPr>
                <w:rFonts w:ascii="Alkaios" w:hAnsi="Alkaios"/>
              </w:rPr>
              <w:t>XXXV</w:t>
            </w:r>
            <w:r w:rsidRPr="00340F45">
              <w:rPr>
                <w:rFonts w:ascii="Alkaios" w:hAnsi="Alkaios"/>
                <w:lang w:val="el-GR"/>
              </w:rPr>
              <w:t xml:space="preserve">. Οὐκ ἔστι τὸν λάθρᾳ τι ποιοῦντα ὧν συνέθεντο πρὸς ἀλλήλους εἰς τὸ μὴ βλάπτειν μηδὲ βλάπτεσθαι πιστεύειν ὅτι λήσει, κἂν μυριάκις ἐπὶ τοῦ παρόντος λανθάνῃ. μέχρι μὲν καταστροφῆς ἄδηλον εἰ καὶ λήσει. </w:t>
            </w:r>
          </w:p>
        </w:tc>
        <w:tc>
          <w:tcPr>
            <w:tcW w:w="4962" w:type="dxa"/>
          </w:tcPr>
          <w:p w14:paraId="77BE72FC" w14:textId="77777777" w:rsidR="00A722A2" w:rsidRPr="00340F45" w:rsidRDefault="00A722A2" w:rsidP="007E3272">
            <w:pPr>
              <w:pStyle w:val="StandardWeb"/>
              <w:rPr>
                <w:rFonts w:ascii="Alkaios" w:hAnsi="Alkaios"/>
                <w:lang w:val="el-GR"/>
              </w:rPr>
            </w:pPr>
          </w:p>
        </w:tc>
        <w:tc>
          <w:tcPr>
            <w:tcW w:w="4820" w:type="dxa"/>
          </w:tcPr>
          <w:p w14:paraId="56B58F87" w14:textId="69D050F3" w:rsidR="00A722A2" w:rsidRPr="00340F45" w:rsidRDefault="00A722A2" w:rsidP="007E3272">
            <w:pPr>
              <w:pStyle w:val="StandardWeb"/>
              <w:rPr>
                <w:rFonts w:ascii="Alkaios" w:hAnsi="Alkaios"/>
                <w:lang w:val="el-GR"/>
              </w:rPr>
            </w:pPr>
          </w:p>
        </w:tc>
      </w:tr>
      <w:tr w:rsidR="00A722A2" w:rsidRPr="00BE2707" w14:paraId="2F0C912E" w14:textId="0E501632" w:rsidTr="00A722A2">
        <w:tc>
          <w:tcPr>
            <w:tcW w:w="4962" w:type="dxa"/>
          </w:tcPr>
          <w:p w14:paraId="03FA293C" w14:textId="54AC62B7" w:rsidR="00A722A2" w:rsidRPr="00340F45" w:rsidRDefault="00A722A2" w:rsidP="000569A8">
            <w:pPr>
              <w:pStyle w:val="StandardWeb"/>
              <w:ind w:left="-108" w:right="-103"/>
              <w:rPr>
                <w:rFonts w:ascii="Alkaios" w:hAnsi="Alkaios"/>
                <w:lang w:val="el-GR"/>
              </w:rPr>
            </w:pPr>
            <w:r w:rsidRPr="00340F45">
              <w:rPr>
                <w:rFonts w:ascii="Alkaios" w:hAnsi="Alkaios"/>
              </w:rPr>
              <w:t>XXXVI</w:t>
            </w:r>
            <w:r w:rsidRPr="00340F45">
              <w:rPr>
                <w:rFonts w:ascii="Alkaios" w:hAnsi="Alkaios"/>
                <w:lang w:val="el-GR"/>
              </w:rPr>
              <w:t xml:space="preserve">. Κατὰ μὲν &lt;τὸ&gt; κοινὸν πᾶσι τὸ δίκαιον τὸ αὐτό, συμφέρον γάρ τι ἦν ἐν τῇ πρὸς ἀλλήλους κοινωνίᾳ· κατὰ δὲ τὸ ἴδιον χώρας καὶ ὅσων δή ποτε αἰτίων οὐ πᾶσι συνέπεται τὸ αὐτὸ δίκαιον εἶναι. </w:t>
            </w:r>
          </w:p>
        </w:tc>
        <w:tc>
          <w:tcPr>
            <w:tcW w:w="4962" w:type="dxa"/>
          </w:tcPr>
          <w:p w14:paraId="30132988" w14:textId="77777777" w:rsidR="00A722A2" w:rsidRPr="00340F45" w:rsidRDefault="00A722A2" w:rsidP="007E3272">
            <w:pPr>
              <w:pStyle w:val="StandardWeb"/>
              <w:rPr>
                <w:rFonts w:ascii="Alkaios" w:hAnsi="Alkaios"/>
                <w:lang w:val="el-GR"/>
              </w:rPr>
            </w:pPr>
          </w:p>
        </w:tc>
        <w:tc>
          <w:tcPr>
            <w:tcW w:w="4820" w:type="dxa"/>
          </w:tcPr>
          <w:p w14:paraId="31704213" w14:textId="604E1F49" w:rsidR="00A722A2" w:rsidRPr="00340F45" w:rsidRDefault="00A722A2" w:rsidP="007E3272">
            <w:pPr>
              <w:pStyle w:val="StandardWeb"/>
              <w:rPr>
                <w:rFonts w:ascii="Alkaios" w:hAnsi="Alkaios"/>
                <w:lang w:val="el-GR"/>
              </w:rPr>
            </w:pPr>
          </w:p>
        </w:tc>
      </w:tr>
      <w:tr w:rsidR="00A722A2" w:rsidRPr="00BE2707" w14:paraId="432E1745" w14:textId="3AA39870" w:rsidTr="00A722A2">
        <w:tc>
          <w:tcPr>
            <w:tcW w:w="4962" w:type="dxa"/>
          </w:tcPr>
          <w:p w14:paraId="102A55E6" w14:textId="032A205D" w:rsidR="00A722A2" w:rsidRPr="00340F45" w:rsidRDefault="00A722A2" w:rsidP="000569A8">
            <w:pPr>
              <w:pStyle w:val="StandardWeb"/>
              <w:ind w:left="-108" w:right="-103"/>
              <w:rPr>
                <w:rFonts w:ascii="Alkaios" w:hAnsi="Alkaios"/>
                <w:lang w:val="el-GR"/>
              </w:rPr>
            </w:pPr>
            <w:hyperlink r:id="rId20" w:anchor="p152" w:tooltip="Βίοι φιλοσόφων/Ι" w:history="1">
              <w:r w:rsidRPr="00340F45">
                <w:rPr>
                  <w:rStyle w:val="Hyperlink"/>
                  <w:rFonts w:ascii="Alkaios" w:hAnsi="Alkaios"/>
                  <w:lang w:val="el-GR"/>
                </w:rPr>
                <w:t>152</w:t>
              </w:r>
            </w:hyperlink>
            <w:r w:rsidRPr="00340F45">
              <w:rPr>
                <w:rFonts w:ascii="Alkaios" w:hAnsi="Alkaios"/>
                <w:lang w:val="el-GR"/>
              </w:rPr>
              <w:t xml:space="preserve"> </w:t>
            </w:r>
            <w:r w:rsidRPr="00340F45">
              <w:rPr>
                <w:rFonts w:ascii="Alkaios" w:hAnsi="Alkaios"/>
              </w:rPr>
              <w:t>XXXVII</w:t>
            </w:r>
            <w:r w:rsidRPr="00340F45">
              <w:rPr>
                <w:rFonts w:ascii="Alkaios" w:hAnsi="Alkaios"/>
                <w:lang w:val="el-GR"/>
              </w:rPr>
              <w:t xml:space="preserve">. </w:t>
            </w:r>
            <w:r>
              <w:rPr>
                <w:rStyle w:val="Funotenzeichen"/>
                <w:rFonts w:ascii="Alkaios" w:hAnsi="Alkaios"/>
                <w:lang w:val="el-GR"/>
              </w:rPr>
              <w:footnoteReference w:id="12"/>
            </w:r>
            <w:r w:rsidRPr="00340F45">
              <w:rPr>
                <w:rFonts w:ascii="Alkaios" w:hAnsi="Alkaios"/>
                <w:lang w:val="el-GR"/>
              </w:rPr>
              <w:t xml:space="preserve">Τὸ μὲν ἐπιμαρτυρούμενον ὅτι συμφέρει ἐν ταῖς χρείαις τῆς πρὸς ἀλλήλους </w:t>
            </w:r>
            <w:r w:rsidRPr="00340F45">
              <w:rPr>
                <w:rFonts w:ascii="Alkaios" w:hAnsi="Alkaios"/>
                <w:lang w:val="el-GR"/>
              </w:rPr>
              <w:lastRenderedPageBreak/>
              <w:t xml:space="preserve">κοινωνίας τῶν νομισθέντων εἶναι δικαίων ἔχει τὸ ἐν τοῦ δικαίου χώρᾳ εἶναι, ἐάν τε τὸ αὐτὸ πᾶσι γένηται ἐάν τε μὴ τὸ αὐτό. ἐὰν δὲ νόμον θῆταί τις, μὴ ἀποβαίνῃ δὲ κατὰ τὸ συμφέρον τῆς πρὸς ἀλλήλους κοινωνίας, οὐκέτι τοῦτο τὴν τοῦ δικαίου φύσιν ἔχει. κἂν μεταπίπτῃ τὸ κατὰ τὸ δίκαιον συμφέρον χρόνον δέ τινα εἰς τὴν πρόληψιν ἐναρμόττῃ, οὐδὲν ἧττον ἐκεῖνον τὸν χρόνον ἦν δίκαιον τοῖς μὴ φωναῖς κεναῖς ἑαυτοὺς συνταράττουσιν ἀλλ' ἁπλῶς εἰς τὰ πράγματα βλέπουσιν. </w:t>
            </w:r>
          </w:p>
        </w:tc>
        <w:tc>
          <w:tcPr>
            <w:tcW w:w="4962" w:type="dxa"/>
          </w:tcPr>
          <w:p w14:paraId="60B67CFF" w14:textId="77777777" w:rsidR="00A722A2" w:rsidRPr="00340F45" w:rsidRDefault="00A722A2" w:rsidP="007E3272">
            <w:pPr>
              <w:pStyle w:val="StandardWeb"/>
              <w:rPr>
                <w:lang w:val="el-GR"/>
              </w:rPr>
            </w:pPr>
          </w:p>
        </w:tc>
        <w:tc>
          <w:tcPr>
            <w:tcW w:w="4820" w:type="dxa"/>
          </w:tcPr>
          <w:p w14:paraId="311BC9BE" w14:textId="6A2D2377" w:rsidR="00A722A2" w:rsidRPr="00340F45" w:rsidRDefault="00A722A2" w:rsidP="007E3272">
            <w:pPr>
              <w:pStyle w:val="StandardWeb"/>
              <w:rPr>
                <w:lang w:val="el-GR"/>
              </w:rPr>
            </w:pPr>
          </w:p>
        </w:tc>
      </w:tr>
      <w:tr w:rsidR="00A722A2" w:rsidRPr="00BE2707" w14:paraId="5317F2C1" w14:textId="12175BB0" w:rsidTr="00A722A2">
        <w:tc>
          <w:tcPr>
            <w:tcW w:w="4962" w:type="dxa"/>
          </w:tcPr>
          <w:p w14:paraId="5A3F8D2E" w14:textId="77777777" w:rsidR="00A722A2" w:rsidRPr="00340F45" w:rsidRDefault="00A722A2" w:rsidP="000569A8">
            <w:pPr>
              <w:pStyle w:val="StandardWeb"/>
              <w:ind w:left="-108" w:right="-103"/>
              <w:rPr>
                <w:rFonts w:ascii="Alkaios" w:hAnsi="Alkaios"/>
                <w:lang w:val="el-GR"/>
              </w:rPr>
            </w:pPr>
            <w:hyperlink r:id="rId21" w:anchor="p153" w:tooltip="Βίοι φιλοσόφων/Ι" w:history="1">
              <w:r w:rsidRPr="00340F45">
                <w:rPr>
                  <w:rStyle w:val="Hyperlink"/>
                  <w:rFonts w:ascii="Alkaios" w:hAnsi="Alkaios"/>
                  <w:lang w:val="el-GR"/>
                </w:rPr>
                <w:t>153</w:t>
              </w:r>
            </w:hyperlink>
            <w:r w:rsidRPr="00340F45">
              <w:rPr>
                <w:rFonts w:ascii="Alkaios" w:hAnsi="Alkaios"/>
                <w:lang w:val="el-GR"/>
              </w:rPr>
              <w:t xml:space="preserve"> </w:t>
            </w:r>
            <w:r w:rsidRPr="00340F45">
              <w:rPr>
                <w:rFonts w:ascii="Alkaios" w:hAnsi="Alkaios"/>
              </w:rPr>
              <w:t>XXXVIII</w:t>
            </w:r>
            <w:r w:rsidRPr="00340F45">
              <w:rPr>
                <w:rFonts w:ascii="Alkaios" w:hAnsi="Alkaios"/>
                <w:lang w:val="el-GR"/>
              </w:rPr>
              <w:t xml:space="preserve">. Ἔνθα μὴ καινῶν γενομένων τῶν περιεστώτων πραγμάτων ἀνεφάνη μὴ ἁρμόττοντα εἰς τὴν πρόληψιν τὰ νομισθέντα δίκαια ἐπ' αὐτῶν ἔργων, οὐκ ἦν ταῦτα δίκαια. ἔνθα δὲ καινῶν γενομένων τῶν πραγμάτων οὐκ ἔτι συνέφερε τὰ αὐτὰ δίκαια κείμενα, ἐνταῦθα δὲ τότε μὲν ἦν δίκαια, ὅτε συνέφερεν εἰς τὴν πρὸς ἀλλήλους κοινωνίαν τῶν συμπολιτευομένων· ὕστερον δ' οὐκ ἦν ἔτι δίκαια, ὅτε μὴ συνέφερεν. </w:t>
            </w:r>
          </w:p>
        </w:tc>
        <w:tc>
          <w:tcPr>
            <w:tcW w:w="4962" w:type="dxa"/>
          </w:tcPr>
          <w:p w14:paraId="3FFE8D8D" w14:textId="77777777" w:rsidR="00A722A2" w:rsidRPr="003247AA" w:rsidRDefault="00A722A2" w:rsidP="007E3272">
            <w:pPr>
              <w:pStyle w:val="StandardWeb"/>
              <w:rPr>
                <w:lang w:val="el-GR"/>
              </w:rPr>
            </w:pPr>
          </w:p>
        </w:tc>
        <w:tc>
          <w:tcPr>
            <w:tcW w:w="4820" w:type="dxa"/>
          </w:tcPr>
          <w:p w14:paraId="2525245D" w14:textId="53E62AA3" w:rsidR="00A722A2" w:rsidRPr="003247AA" w:rsidRDefault="00A722A2" w:rsidP="007E3272">
            <w:pPr>
              <w:pStyle w:val="StandardWeb"/>
              <w:rPr>
                <w:lang w:val="el-GR"/>
              </w:rPr>
            </w:pPr>
          </w:p>
        </w:tc>
      </w:tr>
      <w:tr w:rsidR="00A722A2" w:rsidRPr="00BE2707" w14:paraId="27018A95" w14:textId="1CF0CAD2" w:rsidTr="00A722A2">
        <w:tc>
          <w:tcPr>
            <w:tcW w:w="4962" w:type="dxa"/>
          </w:tcPr>
          <w:p w14:paraId="58C8B62C" w14:textId="393D9E7E" w:rsidR="00A722A2" w:rsidRPr="00340F45" w:rsidRDefault="00A722A2" w:rsidP="000569A8">
            <w:pPr>
              <w:pStyle w:val="StandardWeb"/>
              <w:ind w:left="-108" w:right="-103"/>
              <w:rPr>
                <w:rFonts w:ascii="Alkaios" w:hAnsi="Alkaios"/>
                <w:lang w:val="el-GR"/>
              </w:rPr>
            </w:pPr>
            <w:hyperlink r:id="rId22" w:anchor="p154" w:tooltip="Βίοι φιλοσόφων/Ι" w:history="1">
              <w:r w:rsidRPr="00340F45">
                <w:rPr>
                  <w:rStyle w:val="Hyperlink"/>
                  <w:rFonts w:ascii="Alkaios" w:hAnsi="Alkaios"/>
                  <w:lang w:val="el-GR"/>
                </w:rPr>
                <w:t>154</w:t>
              </w:r>
            </w:hyperlink>
            <w:r w:rsidRPr="00340F45">
              <w:rPr>
                <w:rFonts w:ascii="Alkaios" w:hAnsi="Alkaios"/>
                <w:lang w:val="el-GR"/>
              </w:rPr>
              <w:t xml:space="preserve"> </w:t>
            </w:r>
            <w:r w:rsidRPr="00340F45">
              <w:rPr>
                <w:rFonts w:ascii="Alkaios" w:hAnsi="Alkaios"/>
              </w:rPr>
              <w:t>XXXIX</w:t>
            </w:r>
            <w:r w:rsidRPr="00340F45">
              <w:rPr>
                <w:rFonts w:ascii="Alkaios" w:hAnsi="Alkaios"/>
                <w:lang w:val="el-GR"/>
              </w:rPr>
              <w:t>. Ὁ τὸ μὴ θαρροῦν ἀπὸ τῶν ἔξωθεν ἄριστα συστησάμενος οὗτος τὰ μὲν δυνατὰ ὁμόφυλα κατεσκευάσατο· τὰ δὲ μὴ δυνατὰ οὐκ ἀλλόφυλά γε</w:t>
            </w:r>
            <w:r>
              <w:rPr>
                <w:rStyle w:val="Funotenzeichen"/>
                <w:rFonts w:ascii="Alkaios" w:hAnsi="Alkaios"/>
                <w:lang w:val="el-GR"/>
              </w:rPr>
              <w:footnoteReference w:id="13"/>
            </w:r>
            <w:r w:rsidRPr="00340F45">
              <w:rPr>
                <w:rFonts w:ascii="Alkaios" w:hAnsi="Alkaios"/>
                <w:lang w:val="el-GR"/>
              </w:rPr>
              <w:t xml:space="preserve">· ὅσα δὲ μηδὲ τοῦτο δυνατὸς ἦν, ἀνεπίμεικτος ἐγένετο, καὶ ἐξωρίσατο ὅσα τοῦτ' ἐλυσιτέλει πράττειν. </w:t>
            </w:r>
          </w:p>
        </w:tc>
        <w:tc>
          <w:tcPr>
            <w:tcW w:w="4962" w:type="dxa"/>
          </w:tcPr>
          <w:p w14:paraId="5FD0504E" w14:textId="77777777" w:rsidR="00A722A2" w:rsidRPr="003247AA" w:rsidRDefault="00A722A2" w:rsidP="007E3272">
            <w:pPr>
              <w:pStyle w:val="StandardWeb"/>
              <w:rPr>
                <w:lang w:val="el-GR"/>
              </w:rPr>
            </w:pPr>
          </w:p>
        </w:tc>
        <w:tc>
          <w:tcPr>
            <w:tcW w:w="4820" w:type="dxa"/>
          </w:tcPr>
          <w:p w14:paraId="5CA19542" w14:textId="23892800" w:rsidR="00A722A2" w:rsidRPr="003247AA" w:rsidRDefault="00A722A2" w:rsidP="007E3272">
            <w:pPr>
              <w:pStyle w:val="StandardWeb"/>
              <w:rPr>
                <w:lang w:val="el-GR"/>
              </w:rPr>
            </w:pPr>
          </w:p>
        </w:tc>
      </w:tr>
      <w:tr w:rsidR="00A722A2" w:rsidRPr="00BE2707" w14:paraId="63694C32" w14:textId="3DE7DCF1" w:rsidTr="00A722A2">
        <w:tc>
          <w:tcPr>
            <w:tcW w:w="4962" w:type="dxa"/>
          </w:tcPr>
          <w:p w14:paraId="012E2C62" w14:textId="77777777" w:rsidR="00A722A2" w:rsidRPr="00340F45" w:rsidRDefault="00A722A2" w:rsidP="000569A8">
            <w:pPr>
              <w:pStyle w:val="StandardWeb"/>
              <w:ind w:left="-108" w:right="-103"/>
              <w:rPr>
                <w:rFonts w:ascii="Alkaios" w:hAnsi="Alkaios"/>
                <w:lang w:val="el-GR"/>
              </w:rPr>
            </w:pPr>
            <w:r w:rsidRPr="00340F45">
              <w:rPr>
                <w:rFonts w:ascii="Alkaios" w:hAnsi="Alkaios"/>
              </w:rPr>
              <w:t>XL</w:t>
            </w:r>
            <w:r w:rsidRPr="00340F45">
              <w:rPr>
                <w:rFonts w:ascii="Alkaios" w:hAnsi="Alkaios"/>
                <w:lang w:val="el-GR"/>
              </w:rPr>
              <w:t xml:space="preserve">. Ὅσοι τὴν δύναμιν ἔσχον τοῦ τὸ θαρρεῖν μάλιστα ἐκ τῶν ὁμορούντων παρασκευάσασθαι, οὕτω καὶ ἐβίωσαν μετ' ἀλλήλων ἥδιστα τὸ βεβαιότατον πίστωμα ἔχοντες, καὶ πληρεστάτην οἰκειότητα ἀπολαβόντες οὐκ ὠδύραντο ὡς πρὸς ἔλεον τὴν τοῦ τελευτήσαντος προκαταστροφήν. </w:t>
            </w:r>
          </w:p>
        </w:tc>
        <w:tc>
          <w:tcPr>
            <w:tcW w:w="4962" w:type="dxa"/>
          </w:tcPr>
          <w:p w14:paraId="4EB94F44" w14:textId="77777777" w:rsidR="00A722A2" w:rsidRPr="00340F45" w:rsidRDefault="00A722A2" w:rsidP="007E3272">
            <w:pPr>
              <w:pStyle w:val="StandardWeb"/>
              <w:rPr>
                <w:rFonts w:ascii="Alkaios" w:hAnsi="Alkaios"/>
                <w:lang w:val="el-GR"/>
              </w:rPr>
            </w:pPr>
          </w:p>
        </w:tc>
        <w:tc>
          <w:tcPr>
            <w:tcW w:w="4820" w:type="dxa"/>
          </w:tcPr>
          <w:p w14:paraId="0313ECD6" w14:textId="55A5A50A" w:rsidR="00A722A2" w:rsidRPr="00340F45" w:rsidRDefault="00A722A2" w:rsidP="007E3272">
            <w:pPr>
              <w:pStyle w:val="StandardWeb"/>
              <w:rPr>
                <w:rFonts w:ascii="Alkaios" w:hAnsi="Alkaios"/>
                <w:lang w:val="el-GR"/>
              </w:rPr>
            </w:pPr>
          </w:p>
        </w:tc>
      </w:tr>
    </w:tbl>
    <w:p w14:paraId="6A05ABE0" w14:textId="77777777" w:rsidR="005F72D6" w:rsidRPr="00050399" w:rsidRDefault="00000000" w:rsidP="00340F45">
      <w:pPr>
        <w:rPr>
          <w:rFonts w:ascii="Alkaios" w:hAnsi="Alkaios"/>
          <w:lang w:val="el-GR"/>
        </w:rPr>
      </w:pPr>
    </w:p>
    <w:sectPr w:rsidR="005F72D6" w:rsidRPr="00050399" w:rsidSect="000569A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61C0" w14:textId="77777777" w:rsidR="00A90701" w:rsidRDefault="00A90701" w:rsidP="00340F45">
      <w:pPr>
        <w:spacing w:after="0"/>
      </w:pPr>
      <w:r>
        <w:separator/>
      </w:r>
    </w:p>
  </w:endnote>
  <w:endnote w:type="continuationSeparator" w:id="0">
    <w:p w14:paraId="595AC81D" w14:textId="77777777" w:rsidR="00A90701" w:rsidRDefault="00A90701" w:rsidP="0034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4598" w14:textId="77777777" w:rsidR="00A90701" w:rsidRDefault="00A90701" w:rsidP="00340F45">
      <w:pPr>
        <w:spacing w:after="0"/>
      </w:pPr>
      <w:r>
        <w:separator/>
      </w:r>
    </w:p>
  </w:footnote>
  <w:footnote w:type="continuationSeparator" w:id="0">
    <w:p w14:paraId="5E6058AA" w14:textId="77777777" w:rsidR="00A90701" w:rsidRDefault="00A90701" w:rsidP="00340F45">
      <w:pPr>
        <w:spacing w:after="0"/>
      </w:pPr>
      <w:r>
        <w:continuationSeparator/>
      </w:r>
    </w:p>
  </w:footnote>
  <w:footnote w:id="1">
    <w:p w14:paraId="41767712" w14:textId="77777777" w:rsidR="00A722A2" w:rsidRPr="00097D35" w:rsidRDefault="00A722A2">
      <w:pPr>
        <w:pStyle w:val="Funotentext"/>
      </w:pPr>
      <w:r>
        <w:rPr>
          <w:rStyle w:val="Funotenzeichen"/>
        </w:rPr>
        <w:footnoteRef/>
      </w:r>
      <w:r w:rsidRPr="00097D35">
        <w:t xml:space="preserve"> </w:t>
      </w:r>
      <w:r w:rsidRPr="00097D35">
        <w:rPr>
          <w:rFonts w:ascii="Alkaios" w:hAnsi="Alkaios"/>
          <w:lang w:val="el-GR"/>
        </w:rPr>
        <w:t>ἐν</w:t>
      </w:r>
      <w:r w:rsidRPr="00097D35">
        <w:rPr>
          <w:rFonts w:ascii="Alkaios" w:hAnsi="Alkaios"/>
        </w:rPr>
        <w:t xml:space="preserve"> </w:t>
      </w:r>
      <w:r w:rsidRPr="00097D35">
        <w:rPr>
          <w:rFonts w:ascii="Alkaios" w:hAnsi="Alkaios"/>
          <w:lang w:val="el-GR"/>
        </w:rPr>
        <w:t>ἄλλοις</w:t>
      </w:r>
      <w:r w:rsidRPr="00097D35">
        <w:rPr>
          <w:rFonts w:ascii="Alkaios" w:hAnsi="Alkaios"/>
        </w:rPr>
        <w:t xml:space="preserve"> </w:t>
      </w:r>
      <w:r w:rsidRPr="00097D35">
        <w:rPr>
          <w:rFonts w:ascii="Alkaios" w:hAnsi="Alkaios"/>
          <w:lang w:val="el-GR"/>
        </w:rPr>
        <w:t>δέ</w:t>
      </w:r>
      <w:r w:rsidRPr="00097D35">
        <w:rPr>
          <w:rFonts w:ascii="Alkaios" w:hAnsi="Alkaios"/>
        </w:rPr>
        <w:t xml:space="preserve"> </w:t>
      </w:r>
      <w:r w:rsidRPr="00097D35">
        <w:rPr>
          <w:rFonts w:ascii="Alkaios" w:hAnsi="Alkaios"/>
          <w:lang w:val="el-GR"/>
        </w:rPr>
        <w:t>φησι</w:t>
      </w:r>
      <w:r>
        <w:rPr>
          <w:rFonts w:ascii="Alkaios" w:hAnsi="Alkaios"/>
        </w:rPr>
        <w:t xml:space="preserve"> „an anderen Stellen sagt er“</w:t>
      </w:r>
      <w:r w:rsidRPr="00097D35">
        <w:rPr>
          <w:rFonts w:ascii="Alkaios" w:hAnsi="Alkaios"/>
        </w:rPr>
        <w:t xml:space="preserve">: </w:t>
      </w:r>
      <w:r>
        <w:rPr>
          <w:rFonts w:ascii="Alkaios" w:hAnsi="Alkaios"/>
        </w:rPr>
        <w:t>eine offensichtliche Glosse (Randbemerkung), die beim Abschreiben in den Haupttext geraten ist.</w:t>
      </w:r>
    </w:p>
  </w:footnote>
  <w:footnote w:id="2">
    <w:p w14:paraId="78C2C8A6" w14:textId="77777777" w:rsidR="00A722A2" w:rsidRPr="008A77B7" w:rsidRDefault="00A722A2">
      <w:pPr>
        <w:pStyle w:val="Funotentext"/>
      </w:pPr>
      <w:r>
        <w:rPr>
          <w:rStyle w:val="Funotenzeichen"/>
        </w:rPr>
        <w:footnoteRef/>
      </w:r>
      <w:r>
        <w:t xml:space="preserve"> </w:t>
      </w:r>
      <w:r w:rsidRPr="00050399">
        <w:rPr>
          <w:rFonts w:ascii="Alkaios" w:hAnsi="Alkaios"/>
        </w:rPr>
        <w:t>ἀρχῆς καὶ βασιλείας</w:t>
      </w:r>
      <w:r>
        <w:rPr>
          <w:rFonts w:ascii="Alkaios" w:hAnsi="Alkaios"/>
        </w:rPr>
        <w:t xml:space="preserve"> zu </w:t>
      </w:r>
      <w:r>
        <w:rPr>
          <w:rFonts w:ascii="Alkaios" w:hAnsi="Alkaios"/>
          <w:lang w:val="el-GR"/>
        </w:rPr>
        <w:t>ἀγαθόν</w:t>
      </w:r>
    </w:p>
  </w:footnote>
  <w:footnote w:id="3">
    <w:p w14:paraId="639883B6" w14:textId="77777777" w:rsidR="00A722A2" w:rsidRPr="008A77B7" w:rsidRDefault="00A722A2">
      <w:pPr>
        <w:pStyle w:val="Funotentext"/>
      </w:pPr>
      <w:r>
        <w:rPr>
          <w:rStyle w:val="Funotenzeichen"/>
        </w:rPr>
        <w:footnoteRef/>
      </w:r>
      <w:r>
        <w:t xml:space="preserve"> </w:t>
      </w:r>
      <w:r w:rsidRPr="00050399">
        <w:rPr>
          <w:rFonts w:ascii="Alkaios" w:hAnsi="Alkaios"/>
        </w:rPr>
        <w:t xml:space="preserve">οἷός τ' </w:t>
      </w:r>
      <w:r>
        <w:rPr>
          <w:rFonts w:ascii="Alkaios" w:hAnsi="Alkaios"/>
          <w:lang w:val="el-GR"/>
        </w:rPr>
        <w:t>ἐστιν</w:t>
      </w:r>
      <w:r w:rsidRPr="008A77B7">
        <w:rPr>
          <w:rFonts w:ascii="Alkaios" w:hAnsi="Alkaios"/>
        </w:rPr>
        <w:t xml:space="preserve"> </w:t>
      </w:r>
      <w:r>
        <w:rPr>
          <w:rFonts w:ascii="Alkaios" w:hAnsi="Alkaios"/>
        </w:rPr>
        <w:t xml:space="preserve">ergänze </w:t>
      </w:r>
      <w:r>
        <w:rPr>
          <w:rFonts w:ascii="Alkaios" w:hAnsi="Alkaios"/>
          <w:lang w:val="el-GR"/>
        </w:rPr>
        <w:t>τις</w:t>
      </w:r>
    </w:p>
  </w:footnote>
  <w:footnote w:id="4">
    <w:p w14:paraId="6D01BD3F" w14:textId="77777777" w:rsidR="00A722A2" w:rsidRPr="00464614" w:rsidRDefault="00A722A2">
      <w:pPr>
        <w:pStyle w:val="Funotentext"/>
      </w:pPr>
      <w:r>
        <w:rPr>
          <w:rStyle w:val="Funotenzeichen"/>
        </w:rPr>
        <w:footnoteRef/>
      </w:r>
      <w:r>
        <w:t xml:space="preserve"> </w:t>
      </w:r>
      <w:r>
        <w:rPr>
          <w:lang w:val="el-GR"/>
        </w:rPr>
        <w:t>φύσις</w:t>
      </w:r>
      <w:r w:rsidRPr="00464614">
        <w:t xml:space="preserve"> </w:t>
      </w:r>
      <w:r>
        <w:t>hier: Natur, Beschaffenheit des Körpers</w:t>
      </w:r>
    </w:p>
  </w:footnote>
  <w:footnote w:id="5">
    <w:p w14:paraId="76C61BCF" w14:textId="77777777" w:rsidR="00A722A2" w:rsidRPr="00BD2AA4" w:rsidRDefault="00A722A2">
      <w:pPr>
        <w:pStyle w:val="Funotentext"/>
      </w:pPr>
      <w:r>
        <w:rPr>
          <w:rStyle w:val="Funotenzeichen"/>
        </w:rPr>
        <w:footnoteRef/>
      </w:r>
      <w:r>
        <w:t xml:space="preserve"> </w:t>
      </w:r>
      <w:r w:rsidRPr="00050399">
        <w:rPr>
          <w:rFonts w:ascii="Alkaios" w:hAnsi="Alkaios"/>
        </w:rPr>
        <w:t>ἦν</w:t>
      </w:r>
      <w:r>
        <w:rPr>
          <w:rFonts w:ascii="Alkaios" w:hAnsi="Alkaios"/>
        </w:rPr>
        <w:t xml:space="preserve"> = </w:t>
      </w:r>
      <w:r>
        <w:rPr>
          <w:rFonts w:ascii="Alkaios" w:hAnsi="Alkaios"/>
          <w:lang w:val="el-GR"/>
        </w:rPr>
        <w:t>ἐξῆν</w:t>
      </w:r>
      <w:r>
        <w:rPr>
          <w:rFonts w:ascii="Alkaios" w:hAnsi="Alkaios"/>
        </w:rPr>
        <w:t>, irreal?</w:t>
      </w:r>
    </w:p>
  </w:footnote>
  <w:footnote w:id="6">
    <w:p w14:paraId="2925D334" w14:textId="77777777" w:rsidR="00A722A2" w:rsidRPr="00C67FFC" w:rsidRDefault="00A722A2">
      <w:pPr>
        <w:pStyle w:val="Funotentext"/>
      </w:pPr>
      <w:r>
        <w:rPr>
          <w:rStyle w:val="Funotenzeichen"/>
        </w:rPr>
        <w:footnoteRef/>
      </w:r>
      <w:r>
        <w:t xml:space="preserve"> </w:t>
      </w:r>
      <w:r w:rsidRPr="00050399">
        <w:rPr>
          <w:rFonts w:ascii="Alkaios" w:hAnsi="Alkaios"/>
        </w:rPr>
        <w:t>μὴ κατειδότα</w:t>
      </w:r>
      <w:r w:rsidRPr="00C67FFC">
        <w:rPr>
          <w:rFonts w:ascii="Alkaios" w:hAnsi="Alkaios"/>
        </w:rPr>
        <w:t xml:space="preserve"> </w:t>
      </w:r>
      <w:r>
        <w:rPr>
          <w:rFonts w:ascii="Alkaios" w:hAnsi="Alkaios"/>
        </w:rPr>
        <w:t xml:space="preserve">ist Subjektsakkusativ zu </w:t>
      </w:r>
      <w:r>
        <w:rPr>
          <w:rFonts w:ascii="Alkaios" w:hAnsi="Alkaios"/>
          <w:lang w:val="el-GR"/>
        </w:rPr>
        <w:t>λύειν</w:t>
      </w:r>
    </w:p>
  </w:footnote>
  <w:footnote w:id="7">
    <w:p w14:paraId="2B24473C" w14:textId="77777777" w:rsidR="00A722A2" w:rsidRPr="00C67FFC" w:rsidRDefault="00A722A2">
      <w:pPr>
        <w:pStyle w:val="Funotentext"/>
      </w:pPr>
      <w:r>
        <w:rPr>
          <w:rStyle w:val="Funotenzeichen"/>
        </w:rPr>
        <w:footnoteRef/>
      </w:r>
      <w:r>
        <w:t xml:space="preserve"> </w:t>
      </w:r>
      <w:r>
        <w:rPr>
          <w:lang w:val="el-GR"/>
        </w:rPr>
        <w:t>τίς</w:t>
      </w:r>
      <w:r w:rsidRPr="00C67FFC">
        <w:t xml:space="preserve"> </w:t>
      </w:r>
      <w:r>
        <w:t xml:space="preserve">leitet einen indirketen Fragaesatz ein. </w:t>
      </w:r>
    </w:p>
  </w:footnote>
  <w:footnote w:id="8">
    <w:p w14:paraId="29CD9E5E" w14:textId="77777777" w:rsidR="00A722A2" w:rsidRPr="00E415B3" w:rsidRDefault="00A722A2">
      <w:pPr>
        <w:pStyle w:val="Funotentext"/>
      </w:pPr>
      <w:r>
        <w:rPr>
          <w:rStyle w:val="Funotenzeichen"/>
        </w:rPr>
        <w:footnoteRef/>
      </w:r>
      <w:r>
        <w:t xml:space="preserve"> </w:t>
      </w:r>
      <w:r>
        <w:rPr>
          <w:lang w:val="el-GR"/>
        </w:rPr>
        <w:t>τῶν</w:t>
      </w:r>
      <w:r w:rsidRPr="00E415B3">
        <w:t xml:space="preserve"> </w:t>
      </w:r>
      <w:r>
        <w:t>Beginn eines GA</w:t>
      </w:r>
    </w:p>
  </w:footnote>
  <w:footnote w:id="9">
    <w:p w14:paraId="50414042" w14:textId="77777777" w:rsidR="00A722A2" w:rsidRPr="00E415B3" w:rsidRDefault="00A722A2">
      <w:pPr>
        <w:pStyle w:val="Funotentext"/>
      </w:pPr>
      <w:r>
        <w:rPr>
          <w:rStyle w:val="Funotenzeichen"/>
        </w:rPr>
        <w:footnoteRef/>
      </w:r>
      <w:r>
        <w:t xml:space="preserve"> </w:t>
      </w:r>
      <w:r>
        <w:rPr>
          <w:lang w:val="el-GR"/>
        </w:rPr>
        <w:t>τῆς</w:t>
      </w:r>
      <w:r>
        <w:t xml:space="preserve">: Anfang eines GA, der bis </w:t>
      </w:r>
      <w:r>
        <w:rPr>
          <w:lang w:val="el-GR"/>
        </w:rPr>
        <w:t>εὐπορίᾳ</w:t>
      </w:r>
      <w:r w:rsidRPr="00E415B3">
        <w:t xml:space="preserve"> </w:t>
      </w:r>
      <w:r>
        <w:t>reicht</w:t>
      </w:r>
    </w:p>
  </w:footnote>
  <w:footnote w:id="10">
    <w:p w14:paraId="724B0215" w14:textId="77777777" w:rsidR="00A722A2" w:rsidRDefault="00A722A2">
      <w:pPr>
        <w:pStyle w:val="Funotentext"/>
      </w:pPr>
      <w:r>
        <w:rPr>
          <w:rStyle w:val="Funotenzeichen"/>
        </w:rPr>
        <w:footnoteRef/>
      </w:r>
      <w:r>
        <w:t xml:space="preserve"> Hier beginnt eine offensichtlich Glosse, die im Laufe der Überleiferung in den Text hineingeraten ist.</w:t>
      </w:r>
    </w:p>
  </w:footnote>
  <w:footnote w:id="11">
    <w:p w14:paraId="5C67DA8B" w14:textId="650CE2C2" w:rsidR="00A722A2" w:rsidRPr="00340F45" w:rsidRDefault="00A722A2">
      <w:pPr>
        <w:pStyle w:val="Funotentext"/>
      </w:pPr>
      <w:r>
        <w:rPr>
          <w:rStyle w:val="Funotenzeichen"/>
        </w:rPr>
        <w:footnoteRef/>
      </w:r>
      <w:r>
        <w:t xml:space="preserve"> </w:t>
      </w:r>
      <w:r>
        <w:rPr>
          <w:lang w:val="el-GR"/>
        </w:rPr>
        <w:t>φύσις</w:t>
      </w:r>
      <w:r>
        <w:t>:wie oft bei Epikur die menschliche Natur oder Veranlagung</w:t>
      </w:r>
    </w:p>
  </w:footnote>
  <w:footnote w:id="12">
    <w:p w14:paraId="022852DA" w14:textId="2F040B27" w:rsidR="00A722A2" w:rsidRPr="000569A8" w:rsidRDefault="00A722A2">
      <w:pPr>
        <w:pStyle w:val="Funotentext"/>
      </w:pPr>
      <w:r>
        <w:rPr>
          <w:rStyle w:val="Funotenzeichen"/>
        </w:rPr>
        <w:footnoteRef/>
      </w:r>
      <w:r>
        <w:t xml:space="preserve"> ordne: </w:t>
      </w:r>
      <w:r w:rsidRPr="00340F45">
        <w:rPr>
          <w:rFonts w:ascii="Alkaios" w:hAnsi="Alkaios"/>
          <w:lang w:val="el-GR"/>
        </w:rPr>
        <w:t>Τὸ</w:t>
      </w:r>
      <w:r w:rsidRPr="007F6A0C">
        <w:rPr>
          <w:rFonts w:ascii="Alkaios" w:hAnsi="Alkaios"/>
        </w:rPr>
        <w:t xml:space="preserve"> </w:t>
      </w:r>
      <w:r w:rsidRPr="00340F45">
        <w:rPr>
          <w:rFonts w:ascii="Alkaios" w:hAnsi="Alkaios"/>
          <w:lang w:val="el-GR"/>
        </w:rPr>
        <w:t>μὲν</w:t>
      </w:r>
      <w:r w:rsidRPr="007F6A0C">
        <w:rPr>
          <w:rFonts w:ascii="Alkaios" w:hAnsi="Alkaios"/>
        </w:rPr>
        <w:t xml:space="preserve"> </w:t>
      </w:r>
      <w:r w:rsidRPr="00340F45">
        <w:rPr>
          <w:rFonts w:ascii="Alkaios" w:hAnsi="Alkaios"/>
          <w:lang w:val="el-GR"/>
        </w:rPr>
        <w:t>ἐπιμαρτυρούμενον</w:t>
      </w:r>
      <w:r w:rsidRPr="007F6A0C">
        <w:rPr>
          <w:rFonts w:ascii="Alkaios" w:hAnsi="Alkaios"/>
        </w:rPr>
        <w:t xml:space="preserve"> </w:t>
      </w:r>
      <w:r w:rsidRPr="00340F45">
        <w:rPr>
          <w:rFonts w:ascii="Alkaios" w:hAnsi="Alkaios"/>
          <w:lang w:val="el-GR"/>
        </w:rPr>
        <w:t>τῶν</w:t>
      </w:r>
      <w:r w:rsidRPr="007F6A0C">
        <w:rPr>
          <w:rFonts w:ascii="Alkaios" w:hAnsi="Alkaios"/>
        </w:rPr>
        <w:t xml:space="preserve"> </w:t>
      </w:r>
      <w:r w:rsidRPr="00340F45">
        <w:rPr>
          <w:rFonts w:ascii="Alkaios" w:hAnsi="Alkaios"/>
          <w:lang w:val="el-GR"/>
        </w:rPr>
        <w:t>νομισθέντων</w:t>
      </w:r>
      <w:r w:rsidRPr="007F6A0C">
        <w:rPr>
          <w:rFonts w:ascii="Alkaios" w:hAnsi="Alkaios"/>
        </w:rPr>
        <w:t xml:space="preserve"> </w:t>
      </w:r>
      <w:r w:rsidRPr="00340F45">
        <w:rPr>
          <w:rFonts w:ascii="Alkaios" w:hAnsi="Alkaios"/>
          <w:lang w:val="el-GR"/>
        </w:rPr>
        <w:t>εἶναι</w:t>
      </w:r>
      <w:r w:rsidRPr="007F6A0C">
        <w:rPr>
          <w:rFonts w:ascii="Alkaios" w:hAnsi="Alkaios"/>
        </w:rPr>
        <w:t xml:space="preserve"> </w:t>
      </w:r>
      <w:r w:rsidRPr="00340F45">
        <w:rPr>
          <w:rFonts w:ascii="Alkaios" w:hAnsi="Alkaios"/>
          <w:lang w:val="el-GR"/>
        </w:rPr>
        <w:t>δικαίων</w:t>
      </w:r>
      <w:r>
        <w:rPr>
          <w:rFonts w:ascii="Alkaios" w:hAnsi="Alkaios"/>
        </w:rPr>
        <w:t>,</w:t>
      </w:r>
      <w:r w:rsidRPr="007F6A0C">
        <w:rPr>
          <w:rFonts w:ascii="Alkaios" w:hAnsi="Alkaios"/>
        </w:rPr>
        <w:t xml:space="preserve"> </w:t>
      </w:r>
      <w:r w:rsidRPr="00340F45">
        <w:rPr>
          <w:rFonts w:ascii="Alkaios" w:hAnsi="Alkaios"/>
          <w:lang w:val="el-GR"/>
        </w:rPr>
        <w:t>ὅτι</w:t>
      </w:r>
      <w:r w:rsidRPr="007F6A0C">
        <w:rPr>
          <w:rFonts w:ascii="Alkaios" w:hAnsi="Alkaios"/>
        </w:rPr>
        <w:t xml:space="preserve"> </w:t>
      </w:r>
      <w:r w:rsidRPr="00340F45">
        <w:rPr>
          <w:rFonts w:ascii="Alkaios" w:hAnsi="Alkaios"/>
          <w:lang w:val="el-GR"/>
        </w:rPr>
        <w:t>συμφέρει</w:t>
      </w:r>
      <w:r w:rsidRPr="007F6A0C">
        <w:rPr>
          <w:rFonts w:ascii="Alkaios" w:hAnsi="Alkaios"/>
        </w:rPr>
        <w:t xml:space="preserve"> </w:t>
      </w:r>
      <w:r w:rsidRPr="00340F45">
        <w:rPr>
          <w:rFonts w:ascii="Alkaios" w:hAnsi="Alkaios"/>
          <w:lang w:val="el-GR"/>
        </w:rPr>
        <w:t>ἐν</w:t>
      </w:r>
      <w:r w:rsidRPr="007F6A0C">
        <w:rPr>
          <w:rFonts w:ascii="Alkaios" w:hAnsi="Alkaios"/>
        </w:rPr>
        <w:t xml:space="preserve"> </w:t>
      </w:r>
      <w:r w:rsidRPr="00340F45">
        <w:rPr>
          <w:rFonts w:ascii="Alkaios" w:hAnsi="Alkaios"/>
          <w:lang w:val="el-GR"/>
        </w:rPr>
        <w:t>ταῖς</w:t>
      </w:r>
      <w:r w:rsidRPr="007F6A0C">
        <w:rPr>
          <w:rFonts w:ascii="Alkaios" w:hAnsi="Alkaios"/>
        </w:rPr>
        <w:t xml:space="preserve"> </w:t>
      </w:r>
      <w:r w:rsidRPr="00340F45">
        <w:rPr>
          <w:rFonts w:ascii="Alkaios" w:hAnsi="Alkaios"/>
          <w:lang w:val="el-GR"/>
        </w:rPr>
        <w:t>χρείαις</w:t>
      </w:r>
      <w:r w:rsidRPr="007F6A0C">
        <w:rPr>
          <w:rFonts w:ascii="Alkaios" w:hAnsi="Alkaios"/>
        </w:rPr>
        <w:t xml:space="preserve"> </w:t>
      </w:r>
      <w:r w:rsidRPr="00340F45">
        <w:rPr>
          <w:rFonts w:ascii="Alkaios" w:hAnsi="Alkaios"/>
          <w:lang w:val="el-GR"/>
        </w:rPr>
        <w:t>τῆς</w:t>
      </w:r>
      <w:r w:rsidRPr="007F6A0C">
        <w:rPr>
          <w:rFonts w:ascii="Alkaios" w:hAnsi="Alkaios"/>
        </w:rPr>
        <w:t xml:space="preserve"> </w:t>
      </w:r>
      <w:r w:rsidRPr="00340F45">
        <w:rPr>
          <w:rFonts w:ascii="Alkaios" w:hAnsi="Alkaios"/>
          <w:lang w:val="el-GR"/>
        </w:rPr>
        <w:t>πρὸς</w:t>
      </w:r>
      <w:r w:rsidRPr="007F6A0C">
        <w:rPr>
          <w:rFonts w:ascii="Alkaios" w:hAnsi="Alkaios"/>
        </w:rPr>
        <w:t xml:space="preserve"> </w:t>
      </w:r>
      <w:r w:rsidRPr="00340F45">
        <w:rPr>
          <w:rFonts w:ascii="Alkaios" w:hAnsi="Alkaios"/>
          <w:lang w:val="el-GR"/>
        </w:rPr>
        <w:t>ἀλλήλους</w:t>
      </w:r>
      <w:r w:rsidRPr="007F6A0C">
        <w:rPr>
          <w:rFonts w:ascii="Alkaios" w:hAnsi="Alkaios"/>
        </w:rPr>
        <w:t xml:space="preserve"> </w:t>
      </w:r>
      <w:r w:rsidRPr="00340F45">
        <w:rPr>
          <w:rFonts w:ascii="Alkaios" w:hAnsi="Alkaios"/>
          <w:lang w:val="el-GR"/>
        </w:rPr>
        <w:t>κοινωνίας</w:t>
      </w:r>
      <w:r>
        <w:rPr>
          <w:rFonts w:ascii="Alkaios" w:hAnsi="Alkaios"/>
        </w:rPr>
        <w:t>,</w:t>
      </w:r>
      <w:r w:rsidRPr="007F6A0C">
        <w:rPr>
          <w:rFonts w:ascii="Alkaios" w:hAnsi="Alkaios"/>
        </w:rPr>
        <w:t xml:space="preserve"> </w:t>
      </w:r>
      <w:r w:rsidRPr="00340F45">
        <w:rPr>
          <w:rFonts w:ascii="Alkaios" w:hAnsi="Alkaios"/>
          <w:lang w:val="el-GR"/>
        </w:rPr>
        <w:t>ἔχει</w:t>
      </w:r>
      <w:r w:rsidRPr="007F6A0C">
        <w:rPr>
          <w:rFonts w:ascii="Alkaios" w:hAnsi="Alkaios"/>
        </w:rPr>
        <w:t xml:space="preserve"> </w:t>
      </w:r>
      <w:r w:rsidRPr="00340F45">
        <w:rPr>
          <w:rFonts w:ascii="Alkaios" w:hAnsi="Alkaios"/>
          <w:lang w:val="el-GR"/>
        </w:rPr>
        <w:t>τὸ</w:t>
      </w:r>
      <w:r w:rsidRPr="007F6A0C">
        <w:rPr>
          <w:rFonts w:ascii="Alkaios" w:hAnsi="Alkaios"/>
        </w:rPr>
        <w:t xml:space="preserve"> </w:t>
      </w:r>
      <w:r w:rsidRPr="00340F45">
        <w:rPr>
          <w:rFonts w:ascii="Alkaios" w:hAnsi="Alkaios"/>
          <w:lang w:val="el-GR"/>
        </w:rPr>
        <w:t>ἐν</w:t>
      </w:r>
      <w:r w:rsidRPr="007F6A0C">
        <w:rPr>
          <w:rFonts w:ascii="Alkaios" w:hAnsi="Alkaios"/>
        </w:rPr>
        <w:t xml:space="preserve"> </w:t>
      </w:r>
      <w:r w:rsidRPr="00340F45">
        <w:rPr>
          <w:rFonts w:ascii="Alkaios" w:hAnsi="Alkaios"/>
          <w:lang w:val="el-GR"/>
        </w:rPr>
        <w:t>τοῦ</w:t>
      </w:r>
      <w:r w:rsidRPr="007F6A0C">
        <w:rPr>
          <w:rFonts w:ascii="Alkaios" w:hAnsi="Alkaios"/>
        </w:rPr>
        <w:t xml:space="preserve"> </w:t>
      </w:r>
      <w:r w:rsidRPr="00340F45">
        <w:rPr>
          <w:rFonts w:ascii="Alkaios" w:hAnsi="Alkaios"/>
          <w:lang w:val="el-GR"/>
        </w:rPr>
        <w:t>δικαίου</w:t>
      </w:r>
      <w:r w:rsidRPr="007F6A0C">
        <w:rPr>
          <w:rFonts w:ascii="Alkaios" w:hAnsi="Alkaios"/>
        </w:rPr>
        <w:t xml:space="preserve"> </w:t>
      </w:r>
      <w:r w:rsidRPr="00340F45">
        <w:rPr>
          <w:rFonts w:ascii="Alkaios" w:hAnsi="Alkaios"/>
          <w:lang w:val="el-GR"/>
        </w:rPr>
        <w:t>χώρᾳ</w:t>
      </w:r>
      <w:r w:rsidRPr="007F6A0C">
        <w:rPr>
          <w:rFonts w:ascii="Alkaios" w:hAnsi="Alkaios"/>
        </w:rPr>
        <w:t xml:space="preserve"> </w:t>
      </w:r>
      <w:r w:rsidRPr="00340F45">
        <w:rPr>
          <w:rFonts w:ascii="Alkaios" w:hAnsi="Alkaios"/>
          <w:lang w:val="el-GR"/>
        </w:rPr>
        <w:t>εἶναι</w:t>
      </w:r>
      <w:r>
        <w:rPr>
          <w:rFonts w:ascii="Alkaios" w:hAnsi="Alkaios"/>
        </w:rPr>
        <w:t xml:space="preserve"> – Subjekt zu </w:t>
      </w:r>
      <w:r>
        <w:rPr>
          <w:rFonts w:ascii="Alkaios" w:hAnsi="Alkaios"/>
          <w:lang w:val="el-GR"/>
        </w:rPr>
        <w:t>ἐχει</w:t>
      </w:r>
      <w:r w:rsidRPr="007F6A0C">
        <w:rPr>
          <w:rFonts w:ascii="Alkaios" w:hAnsi="Alkaios"/>
        </w:rPr>
        <w:t xml:space="preserve"> </w:t>
      </w:r>
      <w:r>
        <w:rPr>
          <w:rFonts w:ascii="Alkaios" w:hAnsi="Alkaios"/>
        </w:rPr>
        <w:t xml:space="preserve">ist </w:t>
      </w:r>
      <w:r>
        <w:rPr>
          <w:rFonts w:ascii="Alkaios" w:hAnsi="Alkaios"/>
          <w:lang w:val="el-GR"/>
        </w:rPr>
        <w:t>τ</w:t>
      </w:r>
      <w:r w:rsidRPr="00340F45">
        <w:rPr>
          <w:rFonts w:ascii="Alkaios" w:hAnsi="Alkaios"/>
          <w:lang w:val="el-GR"/>
        </w:rPr>
        <w:t>ὸ</w:t>
      </w:r>
      <w:r w:rsidRPr="007F6A0C">
        <w:rPr>
          <w:rFonts w:ascii="Alkaios" w:hAnsi="Alkaios"/>
        </w:rPr>
        <w:t xml:space="preserve"> </w:t>
      </w:r>
      <w:r w:rsidRPr="00340F45">
        <w:rPr>
          <w:rFonts w:ascii="Alkaios" w:hAnsi="Alkaios"/>
          <w:lang w:val="el-GR"/>
        </w:rPr>
        <w:t>ἐπιμαρτυρούμενον</w:t>
      </w:r>
      <w:r>
        <w:rPr>
          <w:rFonts w:ascii="Alkaios" w:hAnsi="Alkaios"/>
        </w:rPr>
        <w:t xml:space="preserve"> … </w:t>
      </w:r>
      <w:r w:rsidRPr="00340F45">
        <w:rPr>
          <w:rFonts w:ascii="Alkaios" w:hAnsi="Alkaios"/>
          <w:lang w:val="el-GR"/>
        </w:rPr>
        <w:t>εἶναι</w:t>
      </w:r>
    </w:p>
  </w:footnote>
  <w:footnote w:id="13">
    <w:p w14:paraId="0BF6242A" w14:textId="7FAB544E" w:rsidR="00A722A2" w:rsidRPr="0062224B" w:rsidRDefault="00A722A2">
      <w:pPr>
        <w:pStyle w:val="Funotentext"/>
        <w:rPr>
          <w:lang w:val="el-GR"/>
        </w:rPr>
      </w:pPr>
      <w:r>
        <w:rPr>
          <w:rStyle w:val="Funotenzeichen"/>
        </w:rPr>
        <w:footnoteRef/>
      </w:r>
      <w:r>
        <w:t xml:space="preserve"> </w:t>
      </w:r>
      <w:r w:rsidRPr="00340F45">
        <w:rPr>
          <w:rFonts w:ascii="Alkaios" w:hAnsi="Alkaios"/>
          <w:lang w:val="el-GR"/>
        </w:rPr>
        <w:t>οὐκ ἀλλόφυλά γε</w:t>
      </w:r>
      <w:r>
        <w:rPr>
          <w:rFonts w:ascii="Alkaios" w:hAnsi="Alkaios"/>
        </w:rPr>
        <w:t xml:space="preserve"> ergänze </w:t>
      </w:r>
      <w:r>
        <w:rPr>
          <w:rFonts w:ascii="Alkaios" w:hAnsi="Alkaios"/>
          <w:lang w:val="el-GR"/>
        </w:rPr>
        <w:t>κατεσευάσατο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F1"/>
    <w:rsid w:val="00050399"/>
    <w:rsid w:val="000569A8"/>
    <w:rsid w:val="00097D35"/>
    <w:rsid w:val="00181551"/>
    <w:rsid w:val="001C6B15"/>
    <w:rsid w:val="001E1A12"/>
    <w:rsid w:val="003247AA"/>
    <w:rsid w:val="00340F45"/>
    <w:rsid w:val="0036301F"/>
    <w:rsid w:val="00464614"/>
    <w:rsid w:val="005B6D67"/>
    <w:rsid w:val="0062224B"/>
    <w:rsid w:val="00700437"/>
    <w:rsid w:val="0076056E"/>
    <w:rsid w:val="00763112"/>
    <w:rsid w:val="007F6A0C"/>
    <w:rsid w:val="008A77B7"/>
    <w:rsid w:val="00916E19"/>
    <w:rsid w:val="0097628B"/>
    <w:rsid w:val="009E66F1"/>
    <w:rsid w:val="009F393E"/>
    <w:rsid w:val="00A63B72"/>
    <w:rsid w:val="00A722A2"/>
    <w:rsid w:val="00A90701"/>
    <w:rsid w:val="00AA4139"/>
    <w:rsid w:val="00BD2AA4"/>
    <w:rsid w:val="00BE2707"/>
    <w:rsid w:val="00C07A7E"/>
    <w:rsid w:val="00C67FFC"/>
    <w:rsid w:val="00C828FB"/>
    <w:rsid w:val="00D16A6A"/>
    <w:rsid w:val="00E415B3"/>
    <w:rsid w:val="00F67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51FE"/>
  <w15:chartTrackingRefBased/>
  <w15:docId w15:val="{C74F43CF-8D52-4D57-BF8B-BD3B331B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50399"/>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50399"/>
    <w:rPr>
      <w:color w:val="0000FF"/>
      <w:u w:val="single"/>
    </w:rPr>
  </w:style>
  <w:style w:type="table" w:styleId="Tabellenraster">
    <w:name w:val="Table Grid"/>
    <w:basedOn w:val="NormaleTabelle"/>
    <w:uiPriority w:val="39"/>
    <w:rsid w:val="00340F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40F45"/>
    <w:pPr>
      <w:spacing w:after="0"/>
    </w:pPr>
    <w:rPr>
      <w:sz w:val="20"/>
      <w:szCs w:val="20"/>
    </w:rPr>
  </w:style>
  <w:style w:type="character" w:customStyle="1" w:styleId="FunotentextZchn">
    <w:name w:val="Fußnotentext Zchn"/>
    <w:basedOn w:val="Absatz-Standardschriftart"/>
    <w:link w:val="Funotentext"/>
    <w:uiPriority w:val="99"/>
    <w:semiHidden/>
    <w:rsid w:val="00340F45"/>
    <w:rPr>
      <w:sz w:val="20"/>
      <w:szCs w:val="20"/>
    </w:rPr>
  </w:style>
  <w:style w:type="character" w:styleId="Funotenzeichen">
    <w:name w:val="footnote reference"/>
    <w:basedOn w:val="Absatz-Standardschriftart"/>
    <w:uiPriority w:val="99"/>
    <w:semiHidden/>
    <w:unhideWhenUsed/>
    <w:rsid w:val="00340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2%CE%AF%CE%BF%CE%B9_%CF%86%CE%B9%CE%BB%CE%BF%CF%83%CF%8C%CF%86%CF%89%CE%BD/%CE%99" TargetMode="External"/><Relationship Id="rId13" Type="http://schemas.openxmlformats.org/officeDocument/2006/relationships/hyperlink" Target="https://el.wikisource.org/wiki/%CE%92%CE%AF%CE%BF%CE%B9_%CF%86%CE%B9%CE%BB%CE%BF%CF%83%CF%8C%CF%86%CF%89%CE%BD/%CE%99" TargetMode="External"/><Relationship Id="rId18" Type="http://schemas.openxmlformats.org/officeDocument/2006/relationships/hyperlink" Target="https://el.wikisource.org/wiki/%CE%92%CE%AF%CE%BF%CE%B9_%CF%86%CE%B9%CE%BB%CE%BF%CF%83%CF%8C%CF%86%CF%89%CE%BD/%CE%99" TargetMode="External"/><Relationship Id="rId3" Type="http://schemas.openxmlformats.org/officeDocument/2006/relationships/settings" Target="settings.xml"/><Relationship Id="rId21" Type="http://schemas.openxmlformats.org/officeDocument/2006/relationships/hyperlink" Target="https://el.wikisource.org/wiki/%CE%92%CE%AF%CE%BF%CE%B9_%CF%86%CE%B9%CE%BB%CE%BF%CF%83%CF%8C%CF%86%CF%89%CE%BD/%CE%99" TargetMode="External"/><Relationship Id="rId7" Type="http://schemas.openxmlformats.org/officeDocument/2006/relationships/hyperlink" Target="https://el.wikisource.org/wiki/%CE%92%CE%AF%CE%BF%CE%B9_%CF%86%CE%B9%CE%BB%CE%BF%CF%83%CF%8C%CF%86%CF%89%CE%BD/%CE%99" TargetMode="External"/><Relationship Id="rId12" Type="http://schemas.openxmlformats.org/officeDocument/2006/relationships/hyperlink" Target="https://el.wikisource.org/wiki/%CE%92%CE%AF%CE%BF%CE%B9_%CF%86%CE%B9%CE%BB%CE%BF%CF%83%CF%8C%CF%86%CF%89%CE%BD/%CE%99" TargetMode="External"/><Relationship Id="rId17" Type="http://schemas.openxmlformats.org/officeDocument/2006/relationships/hyperlink" Target="https://el.wikisource.org/wiki/%CE%92%CE%AF%CE%BF%CE%B9_%CF%86%CE%B9%CE%BB%CE%BF%CF%83%CF%8C%CF%86%CF%89%CE%BD/%CE%99" TargetMode="External"/><Relationship Id="rId2" Type="http://schemas.openxmlformats.org/officeDocument/2006/relationships/styles" Target="styles.xml"/><Relationship Id="rId16" Type="http://schemas.openxmlformats.org/officeDocument/2006/relationships/hyperlink" Target="https://el.wikisource.org/wiki/%CE%92%CE%AF%CE%BF%CE%B9_%CF%86%CE%B9%CE%BB%CE%BF%CF%83%CF%8C%CF%86%CF%89%CE%BD/%CE%99" TargetMode="External"/><Relationship Id="rId20" Type="http://schemas.openxmlformats.org/officeDocument/2006/relationships/hyperlink" Target="https://el.wikisource.org/wiki/%CE%92%CE%AF%CE%BF%CE%B9_%CF%86%CE%B9%CE%BB%CE%BF%CF%83%CF%8C%CF%86%CF%89%CE%BD/%CE%9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2%CE%AF%CE%BF%CE%B9_%CF%86%CE%B9%CE%BB%CE%BF%CF%83%CF%8C%CF%86%CF%89%CE%BD/%CE%9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l.wikisource.org/wiki/%CE%92%CE%AF%CE%BF%CE%B9_%CF%86%CE%B9%CE%BB%CE%BF%CF%83%CF%8C%CF%86%CF%89%CE%BD/%CE%99" TargetMode="External"/><Relationship Id="rId23" Type="http://schemas.openxmlformats.org/officeDocument/2006/relationships/fontTable" Target="fontTable.xml"/><Relationship Id="rId10" Type="http://schemas.openxmlformats.org/officeDocument/2006/relationships/hyperlink" Target="https://el.wikisource.org/wiki/%CE%92%CE%AF%CE%BF%CE%B9_%CF%86%CE%B9%CE%BB%CE%BF%CF%83%CF%8C%CF%86%CF%89%CE%BD/%CE%99" TargetMode="External"/><Relationship Id="rId19" Type="http://schemas.openxmlformats.org/officeDocument/2006/relationships/hyperlink" Target="https://el.wikisource.org/wiki/%CE%92%CE%AF%CE%BF%CE%B9_%CF%86%CE%B9%CE%BB%CE%BF%CF%83%CF%8C%CF%86%CF%89%CE%BD/%CE%99" TargetMode="External"/><Relationship Id="rId4" Type="http://schemas.openxmlformats.org/officeDocument/2006/relationships/webSettings" Target="webSettings.xml"/><Relationship Id="rId9" Type="http://schemas.openxmlformats.org/officeDocument/2006/relationships/hyperlink" Target="https://el.wikisource.org/wiki/%CE%92%CE%AF%CE%BF%CE%B9_%CF%86%CE%B9%CE%BB%CE%BF%CF%83%CF%8C%CF%86%CF%89%CE%BD/%CE%99" TargetMode="External"/><Relationship Id="rId14" Type="http://schemas.openxmlformats.org/officeDocument/2006/relationships/hyperlink" Target="https://el.wikisource.org/wiki/%CE%92%CE%AF%CE%BF%CE%B9_%CF%86%CE%B9%CE%BB%CE%BF%CF%83%CF%8C%CF%86%CF%89%CE%BD/%CE%99" TargetMode="External"/><Relationship Id="rId22" Type="http://schemas.openxmlformats.org/officeDocument/2006/relationships/hyperlink" Target="https://el.wikisource.org/wiki/%CE%92%CE%AF%CE%BF%CE%B9_%CF%86%CE%B9%CE%BB%CE%BF%CF%83%CF%8C%CF%86%CF%89%CE%BD/%CE%9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A166-E298-42BA-97CF-CD9C86FD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13</cp:revision>
  <cp:lastPrinted>2023-02-25T08:09:00Z</cp:lastPrinted>
  <dcterms:created xsi:type="dcterms:W3CDTF">2022-12-22T08:47:00Z</dcterms:created>
  <dcterms:modified xsi:type="dcterms:W3CDTF">2023-03-01T09:25:00Z</dcterms:modified>
</cp:coreProperties>
</file>