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64AF9" w14:textId="308AB888" w:rsidR="00B2307E" w:rsidRDefault="00B2307E" w:rsidP="00B2307E">
      <w:pPr>
        <w:jc w:val="center"/>
        <w:rPr>
          <w:sz w:val="40"/>
          <w:szCs w:val="40"/>
        </w:rPr>
      </w:pPr>
      <w:r w:rsidRPr="00B2307E">
        <w:rPr>
          <w:sz w:val="40"/>
          <w:szCs w:val="40"/>
        </w:rPr>
        <w:t>pEpikrMen122-135</w:t>
      </w:r>
    </w:p>
    <w:tbl>
      <w:tblPr>
        <w:tblStyle w:val="Tabellenraster"/>
        <w:tblW w:w="9776" w:type="dxa"/>
        <w:tblInd w:w="-431" w:type="dxa"/>
        <w:tblLook w:val="04A0" w:firstRow="1" w:lastRow="0" w:firstColumn="1" w:lastColumn="0" w:noHBand="0" w:noVBand="1"/>
      </w:tblPr>
      <w:tblGrid>
        <w:gridCol w:w="9073"/>
        <w:gridCol w:w="703"/>
      </w:tblGrid>
      <w:tr w:rsidR="00B2307E" w:rsidRPr="00B2307E" w14:paraId="4A87433A" w14:textId="5D61C36A" w:rsidTr="00B2307E">
        <w:tc>
          <w:tcPr>
            <w:tcW w:w="9073" w:type="dxa"/>
          </w:tcPr>
          <w:p w14:paraId="32B450A9" w14:textId="30DA214A" w:rsidR="00B2307E" w:rsidRPr="00B2307E" w:rsidRDefault="00B2307E" w:rsidP="00CB14F8">
            <w:pPr>
              <w:pStyle w:val="StandardWeb"/>
            </w:pPr>
            <w:r w:rsidRPr="00B2307E">
              <w:t xml:space="preserve">Ἐπίκουρος Μενοικεῖ χαίρειν. </w:t>
            </w:r>
            <w:r w:rsidRPr="00B2307E">
              <w:rPr>
                <w:color w:val="0000FF"/>
                <w:sz w:val="17"/>
                <w:szCs w:val="17"/>
              </w:rPr>
              <w:t>[122]</w:t>
            </w:r>
            <w:r w:rsidRPr="00B2307E">
              <w:t xml:space="preserve"> Μήτε νέος τις ὢν μελλέτω φιλοσοφεῖν, μήτε γέρων ὑπάρχων κοπιάτω φιλοσοφῶν. οὔτε γὰρ ἄωρος οὐδείς ἐστιν οὔτε πάρωρος πρὸς τὸ κατὰ ψυχὴν ὑγιαῖνον. ὁ δὲ λέγων ἢ μήπω τοῦ φιλοσοφεῖν ὑπάρχειν ὥραν ἢ παρεληλυθέναι τὴν ὥραν ὅμοιός ἐστι τῷ λέγοντι πρὸς εὐδαιμονίαν ἢ μὴ παρεῖναι τὴν ὥραν ἢ μηκέτι εἶναι. ὥστε φιλοσοφητέον καὶ νέῳ καὶ γέροντι, τῷ μὲν ὅπως γηράσκων νεάζῃ τοῖς ἀγαθοῖς διὰ τὴν χάριν τῶν γεγονότων</w:t>
            </w:r>
            <w:r w:rsidRPr="00B2307E">
              <w:rPr>
                <w:rStyle w:val="Funotenzeichen"/>
              </w:rPr>
              <w:footnoteReference w:id="1"/>
            </w:r>
            <w:r w:rsidRPr="00B2307E">
              <w:t xml:space="preserve">, τῷ δὲ ὅπως νέος ἅμα καὶ παλαιὸς ᾖ διὰ τὴν ἀφοβίαν τῶν μελλόντων· μελετᾶν οὖν χρὴ τὰ ποιοῦντα τὴν εὐδαιμονίαν, εἴπερ παρούσης μὲν αὐτῆς πάντα ἔχομεν, ἀπούσης δὲ πάντα πράττομεν εἰς τὸ ταύτην ἔχειν. </w:t>
            </w:r>
          </w:p>
        </w:tc>
        <w:tc>
          <w:tcPr>
            <w:tcW w:w="703" w:type="dxa"/>
          </w:tcPr>
          <w:p w14:paraId="0A92AA21" w14:textId="77777777" w:rsidR="00B2307E" w:rsidRPr="00B2307E" w:rsidRDefault="00B2307E" w:rsidP="00CB14F8">
            <w:pPr>
              <w:pStyle w:val="StandardWeb"/>
            </w:pPr>
          </w:p>
        </w:tc>
      </w:tr>
      <w:tr w:rsidR="00B2307E" w:rsidRPr="00B2307E" w14:paraId="03FE043E" w14:textId="79B7B183" w:rsidTr="00B2307E">
        <w:tc>
          <w:tcPr>
            <w:tcW w:w="9073" w:type="dxa"/>
          </w:tcPr>
          <w:p w14:paraId="422AEE1F" w14:textId="77777777" w:rsidR="00B2307E" w:rsidRPr="00B2307E" w:rsidRDefault="00B2307E" w:rsidP="00CB14F8">
            <w:pPr>
              <w:pStyle w:val="StandardWeb"/>
            </w:pPr>
            <w:r w:rsidRPr="00B2307E">
              <w:rPr>
                <w:color w:val="0000FF"/>
                <w:sz w:val="17"/>
                <w:szCs w:val="17"/>
              </w:rPr>
              <w:t>[123]</w:t>
            </w:r>
            <w:r w:rsidRPr="00B2307E">
              <w:t xml:space="preserve"> Ἃ δέ σοι συνεχῶς παρήγγελλον, ταῦτα καὶ πρᾶττε καὶ μελέτα, στοιχεῖα τοῦ καλῶς ζῆν ταῦτ’ εἶναι διαλαμβάνων. Πρῶτον μὲν τὸν θεὸν ζῷον ἄφθαρτον καὶ μακάριον νομίζων, ὡς ἡ κοινὴ τοῦ θεοῦ νόησις ὑπεγράφη, μηθὲν μήτε τῆς ἀφθαρσίας ἀλλότριον μήτε τῆς μακαριότητος ἀνοίκειον αὐτῷ πρόσαπτε· πᾶν δὲ τὸ φυλάττειν αὐτοῦ δυνάμενον τὴν μετὰ ἀφθαρσίας μακαριότητα περὶ αὐτὸν δόξαζε. θεοὶ μὲν γὰρ εἰσίν· ἐναργὴς γὰρ αὐτῶν ἐστιν ἡ γνῶσις· οἵους δ’ αὐτοὺς οἱ πολλοὶ νομίζουσιν, οὐκ εἰσίν· οὐ γὰρ φυλάττουσιν αὐτοὺς οἵους νομίζουσιν. ἀσεβὴς δὲ οὐχ ὁ τοὺς τῶν πολλῶν θεοὺς ἀναιρῶν, </w:t>
            </w:r>
          </w:p>
        </w:tc>
        <w:tc>
          <w:tcPr>
            <w:tcW w:w="703" w:type="dxa"/>
          </w:tcPr>
          <w:p w14:paraId="1721E1FB" w14:textId="77777777" w:rsidR="00B2307E" w:rsidRPr="00B2307E" w:rsidRDefault="00B2307E" w:rsidP="00CB14F8">
            <w:pPr>
              <w:pStyle w:val="StandardWeb"/>
              <w:rPr>
                <w:color w:val="0000FF"/>
                <w:sz w:val="17"/>
                <w:szCs w:val="17"/>
              </w:rPr>
            </w:pPr>
          </w:p>
        </w:tc>
      </w:tr>
      <w:tr w:rsidR="00B2307E" w:rsidRPr="00B2307E" w14:paraId="5A23BE33" w14:textId="04312DF6" w:rsidTr="00B2307E">
        <w:tc>
          <w:tcPr>
            <w:tcW w:w="9073" w:type="dxa"/>
          </w:tcPr>
          <w:p w14:paraId="42F55DFE" w14:textId="77777777" w:rsidR="00B2307E" w:rsidRPr="00B2307E" w:rsidRDefault="00B2307E" w:rsidP="00CB14F8">
            <w:pPr>
              <w:pStyle w:val="StandardWeb"/>
            </w:pPr>
            <w:r w:rsidRPr="00B2307E">
              <w:rPr>
                <w:color w:val="0000FF"/>
                <w:sz w:val="17"/>
                <w:szCs w:val="17"/>
              </w:rPr>
              <w:t>[124]</w:t>
            </w:r>
            <w:r w:rsidRPr="00B2307E">
              <w:t xml:space="preserve"> ἀλλ’ ὁ τὰς τῶν πολλῶν δόξας θεοῖς προσάπτων. οὐ γὰρ προλήψεις εἰσὶν ἀλλ’ ὑπολήψεις ψευδεῖς αἱ τῶν πολλῶν ὑπὲρ θεῶν ἀποφάσεις. ἔνθεν αἱ μέγισται βλάβαι [αἴτιαι τοῖς κακοῖς] ἐκ θεῶν ἐπάγονται καὶ ὠφέλειαι. ταῖς γὰρ ἰδίαις οἰκειούμενοι διὰ παντὸς ἀρεταῖς τοὺς ὁμοίους ἀποδέχονται, πᾶν τὸ μὴ τοιοῦτον ὡς ἀλλότριον νομίζοντες. </w:t>
            </w:r>
          </w:p>
        </w:tc>
        <w:tc>
          <w:tcPr>
            <w:tcW w:w="703" w:type="dxa"/>
          </w:tcPr>
          <w:p w14:paraId="6DBCEAE4" w14:textId="77777777" w:rsidR="00B2307E" w:rsidRPr="00B2307E" w:rsidRDefault="00B2307E" w:rsidP="00CB14F8">
            <w:pPr>
              <w:pStyle w:val="StandardWeb"/>
              <w:rPr>
                <w:color w:val="0000FF"/>
                <w:sz w:val="17"/>
                <w:szCs w:val="17"/>
              </w:rPr>
            </w:pPr>
          </w:p>
        </w:tc>
      </w:tr>
      <w:tr w:rsidR="00B2307E" w:rsidRPr="00B2307E" w14:paraId="6B70CF76" w14:textId="2FCE69F0" w:rsidTr="00B2307E">
        <w:tc>
          <w:tcPr>
            <w:tcW w:w="9073" w:type="dxa"/>
          </w:tcPr>
          <w:p w14:paraId="28449E12" w14:textId="77777777" w:rsidR="00B2307E" w:rsidRPr="00B2307E" w:rsidRDefault="00B2307E" w:rsidP="00CB14F8">
            <w:pPr>
              <w:pStyle w:val="StandardWeb"/>
            </w:pPr>
            <w:r w:rsidRPr="00B2307E">
              <w:t xml:space="preserve">Συνέθιζε δὲ ἐν τῷ νομίζειν μηδὲν πρὸς ἡμᾶς εἶναι τὸν θάνατον ἐπεὶ πᾶν ἀγαθὸν καὶ κακὸν ἐν αἰσθήσει· στέρησις δέ ἐστιν αἰσθήσεως ὁ θάνατος. ὅθεν γνῶσις ὀρθὴ τοῦ μηθὲν εἶναι πρὸς ἡμᾶς τὸν θάνατον ἀπολαυστὸν ποιεῖ τὸ τῆς ζωῆς θνητόν, οὐκ ἄπειρον προστιθεῖσα χρόνον, ἀλλὰ τὸν τῆς ἀθανασίας ἀφελομένη πόθον. </w:t>
            </w:r>
          </w:p>
        </w:tc>
        <w:tc>
          <w:tcPr>
            <w:tcW w:w="703" w:type="dxa"/>
          </w:tcPr>
          <w:p w14:paraId="1CC2EFA9" w14:textId="77777777" w:rsidR="00B2307E" w:rsidRPr="00B2307E" w:rsidRDefault="00B2307E" w:rsidP="00CB14F8">
            <w:pPr>
              <w:pStyle w:val="StandardWeb"/>
            </w:pPr>
          </w:p>
        </w:tc>
      </w:tr>
      <w:tr w:rsidR="00B2307E" w:rsidRPr="00B2307E" w14:paraId="13A6B6FD" w14:textId="6F62BAA9" w:rsidTr="00B2307E">
        <w:tc>
          <w:tcPr>
            <w:tcW w:w="9073" w:type="dxa"/>
          </w:tcPr>
          <w:p w14:paraId="61D3C12D" w14:textId="77777777" w:rsidR="00B2307E" w:rsidRPr="00B2307E" w:rsidRDefault="00B2307E" w:rsidP="00CB14F8">
            <w:pPr>
              <w:pStyle w:val="StandardWeb"/>
            </w:pPr>
            <w:r w:rsidRPr="00B2307E">
              <w:rPr>
                <w:color w:val="0000FF"/>
                <w:sz w:val="17"/>
                <w:szCs w:val="17"/>
              </w:rPr>
              <w:t>[125]</w:t>
            </w:r>
            <w:r w:rsidRPr="00B2307E">
              <w:t xml:space="preserve"> οὐθὲν γάρ ἐστιν ἐν τῷ ζῆν δεινὸν τῷ κατειληφότι γνησίως τὸ μηδὲν ὑπάρχειν ἐν τῷ μὴ ζῆν δεινόν. ὥστε μάταιος ὁ λέγων δεδιέναι τὸν θάνατον οὐχ ὅτι λυπήσει παρών, ἀλλ’ ὅτι λυπεῖ μέλλων. ὃ γὰρ παρὸν οὐκ ἐνοχλεῖ, προσδοκώμενον κενῶς λυπεῖ. τὸ φρικωδέστατον οὖν τῶν κακῶν ὁ θάνατος οὐθὲν πρὸς ἡμᾶς, ἐπειδήπερ ὅταν μὲν ἡμεῖς ὦμεν, ὁ θάνατος οὐ πάρεστιν, ὅταν δὲ ὁ θάνατος παρῇ, τόθ’ ἡμεῖς οὐκ ἐσμέν. οὔτε οὖν πρὸς τοὺς ζῶντάς ἐστιν οὔτε πρὸς τοὺς τετελευτηκότας, ἐπειδήπερ περὶ οὓς μὲν οὐκ ἔστιν, οἳ δ’ οὐκέτι εἰσίν. Ἀλλ’ οἱ πολλοὶ τὸν θάνατον ὁτὲ μὲν ὡς μέγιστον τῶν κακῶν φεύγουσιν, ὁτὲ δὲ ὡς ἀνάπαυσιν τῶν ἐν τῷ ζῆν &lt;κακῶν αἱροῦνται. ὁ δὲ σοφὸς οὔτε παραιτεῖται τὸ ζῆν.&gt; </w:t>
            </w:r>
          </w:p>
        </w:tc>
        <w:tc>
          <w:tcPr>
            <w:tcW w:w="703" w:type="dxa"/>
          </w:tcPr>
          <w:p w14:paraId="399FE081" w14:textId="77777777" w:rsidR="00B2307E" w:rsidRPr="00B2307E" w:rsidRDefault="00B2307E" w:rsidP="00CB14F8">
            <w:pPr>
              <w:pStyle w:val="StandardWeb"/>
              <w:rPr>
                <w:color w:val="0000FF"/>
                <w:sz w:val="17"/>
                <w:szCs w:val="17"/>
              </w:rPr>
            </w:pPr>
          </w:p>
        </w:tc>
      </w:tr>
      <w:tr w:rsidR="00B2307E" w:rsidRPr="00B2307E" w14:paraId="4CE72CF0" w14:textId="20578650" w:rsidTr="00B2307E">
        <w:tc>
          <w:tcPr>
            <w:tcW w:w="9073" w:type="dxa"/>
          </w:tcPr>
          <w:p w14:paraId="7DC6C101" w14:textId="77777777" w:rsidR="00B2307E" w:rsidRPr="00B2307E" w:rsidRDefault="00B2307E" w:rsidP="00CB14F8">
            <w:pPr>
              <w:pStyle w:val="StandardWeb"/>
            </w:pPr>
            <w:r w:rsidRPr="00B2307E">
              <w:rPr>
                <w:color w:val="0000FF"/>
                <w:sz w:val="17"/>
                <w:szCs w:val="17"/>
              </w:rPr>
              <w:t>[126]</w:t>
            </w:r>
            <w:r w:rsidRPr="00B2307E">
              <w:t xml:space="preserve"> οὔτε φοβεῖται τὸ μὴ ζῆν· οὔτε γὰρ αὐτῷ προσίσταται τὸ ζῆν οὔτε δοξάζει κακὸν εἶναί τι τὸ μὴ ζῆν. ὥσπερ δὲ τὸ σιτίον οὐ τὸ πλεῖον πάντως ἀλλὰ τὸ ἥδιστον αἱρεῖται, οὕτω καὶ χρόνον οὐ τὸν μήκιστον ἀλλὰ τὸν ἥδιστον καρπίζεται. Ὁ δὲ παραγγέλλων τὸν μὲν νέον καλῶς ζῆν, τὸν δὲ γέροντα καλῶς καταστρέφειν, εὐήθης ἐστὶν οὐ μόνον διὰ τὸ τῆς ζωῆς ἀσπαστόν, ἀλλὰ καὶ διὰ τὸ τὴν αὐτὴν εἶναι μελέτην τοῦ καλῶς ζῆν καὶ τοῦ καλῶς ἀποθνῄσκειν. πολὺ δὲ χείρων καὶ ὁ λέγων καλὸν μὲν μὴ φῦναι, </w:t>
            </w:r>
            <w:r w:rsidRPr="00B2307E">
              <w:rPr>
                <w:lang w:val="el-GR"/>
              </w:rPr>
              <w:t>φύντα</w:t>
            </w:r>
            <w:r w:rsidRPr="00B2307E">
              <w:t xml:space="preserve"> </w:t>
            </w:r>
            <w:r w:rsidRPr="00B2307E">
              <w:rPr>
                <w:lang w:val="el-GR"/>
              </w:rPr>
              <w:t>δ</w:t>
            </w:r>
            <w:r w:rsidRPr="00B2307E">
              <w:t xml:space="preserve">’ </w:t>
            </w:r>
            <w:r w:rsidRPr="00B2307E">
              <w:rPr>
                <w:lang w:val="el-GR"/>
              </w:rPr>
              <w:t>ὅπως</w:t>
            </w:r>
            <w:r w:rsidRPr="00B2307E">
              <w:t xml:space="preserve"> </w:t>
            </w:r>
            <w:r w:rsidRPr="00B2307E">
              <w:rPr>
                <w:lang w:val="el-GR"/>
              </w:rPr>
              <w:t>ὤκιστα</w:t>
            </w:r>
            <w:r w:rsidRPr="00B2307E">
              <w:t xml:space="preserve"> </w:t>
            </w:r>
            <w:r w:rsidRPr="00B2307E">
              <w:rPr>
                <w:lang w:val="el-GR"/>
              </w:rPr>
              <w:t>πύλας</w:t>
            </w:r>
            <w:r w:rsidRPr="00B2307E">
              <w:t xml:space="preserve"> </w:t>
            </w:r>
            <w:r w:rsidRPr="00B2307E">
              <w:rPr>
                <w:lang w:val="el-GR"/>
              </w:rPr>
              <w:t>Ἀίδαο</w:t>
            </w:r>
            <w:r w:rsidRPr="00B2307E">
              <w:t xml:space="preserve"> </w:t>
            </w:r>
            <w:r w:rsidRPr="00B2307E">
              <w:rPr>
                <w:lang w:val="el-GR"/>
              </w:rPr>
              <w:t>περῆσαι</w:t>
            </w:r>
            <w:r w:rsidRPr="00B2307E">
              <w:t xml:space="preserve">. </w:t>
            </w:r>
          </w:p>
        </w:tc>
        <w:tc>
          <w:tcPr>
            <w:tcW w:w="703" w:type="dxa"/>
          </w:tcPr>
          <w:p w14:paraId="58C85BB1" w14:textId="77777777" w:rsidR="00B2307E" w:rsidRPr="00B2307E" w:rsidRDefault="00B2307E" w:rsidP="00CB14F8">
            <w:pPr>
              <w:pStyle w:val="StandardWeb"/>
              <w:rPr>
                <w:color w:val="0000FF"/>
                <w:sz w:val="17"/>
                <w:szCs w:val="17"/>
              </w:rPr>
            </w:pPr>
          </w:p>
        </w:tc>
      </w:tr>
      <w:tr w:rsidR="00B2307E" w:rsidRPr="00B2307E" w14:paraId="1B6B9B9D" w14:textId="5574F161" w:rsidTr="00B2307E">
        <w:tc>
          <w:tcPr>
            <w:tcW w:w="9073" w:type="dxa"/>
          </w:tcPr>
          <w:p w14:paraId="5BB3CA7A" w14:textId="77777777" w:rsidR="00B2307E" w:rsidRPr="00B2307E" w:rsidRDefault="00B2307E" w:rsidP="00CB14F8">
            <w:pPr>
              <w:pStyle w:val="StandardWeb"/>
            </w:pPr>
            <w:r w:rsidRPr="00B2307E">
              <w:rPr>
                <w:color w:val="0000FF"/>
                <w:sz w:val="17"/>
                <w:szCs w:val="17"/>
              </w:rPr>
              <w:t>[127]</w:t>
            </w:r>
            <w:r w:rsidRPr="00B2307E">
              <w:t xml:space="preserve"> </w:t>
            </w:r>
            <w:r w:rsidRPr="00B2307E">
              <w:rPr>
                <w:lang w:val="el-GR"/>
              </w:rPr>
              <w:t>Εἰ</w:t>
            </w:r>
            <w:r w:rsidRPr="00B2307E">
              <w:t xml:space="preserve"> </w:t>
            </w:r>
            <w:r w:rsidRPr="00B2307E">
              <w:rPr>
                <w:lang w:val="el-GR"/>
              </w:rPr>
              <w:t>μὲν</w:t>
            </w:r>
            <w:r w:rsidRPr="00B2307E">
              <w:t xml:space="preserve"> </w:t>
            </w:r>
            <w:r w:rsidRPr="00B2307E">
              <w:rPr>
                <w:lang w:val="el-GR"/>
              </w:rPr>
              <w:t>γὰρ</w:t>
            </w:r>
            <w:r w:rsidRPr="00B2307E">
              <w:t xml:space="preserve"> </w:t>
            </w:r>
            <w:r w:rsidRPr="00B2307E">
              <w:rPr>
                <w:lang w:val="el-GR"/>
              </w:rPr>
              <w:t>πεποιθὼς</w:t>
            </w:r>
            <w:r w:rsidRPr="00B2307E">
              <w:t xml:space="preserve"> </w:t>
            </w:r>
            <w:r w:rsidRPr="00B2307E">
              <w:rPr>
                <w:lang w:val="el-GR"/>
              </w:rPr>
              <w:t>τοῦτό</w:t>
            </w:r>
            <w:r w:rsidRPr="00B2307E">
              <w:t xml:space="preserve"> </w:t>
            </w:r>
            <w:r w:rsidRPr="00B2307E">
              <w:rPr>
                <w:lang w:val="el-GR"/>
              </w:rPr>
              <w:t>φησιν</w:t>
            </w:r>
            <w:r w:rsidRPr="00B2307E">
              <w:t xml:space="preserve">, </w:t>
            </w:r>
            <w:r w:rsidRPr="00B2307E">
              <w:rPr>
                <w:lang w:val="el-GR"/>
              </w:rPr>
              <w:t>πῶς</w:t>
            </w:r>
            <w:r w:rsidRPr="00B2307E">
              <w:t xml:space="preserve"> </w:t>
            </w:r>
            <w:r w:rsidRPr="00B2307E">
              <w:rPr>
                <w:lang w:val="el-GR"/>
              </w:rPr>
              <w:t>οὐκ</w:t>
            </w:r>
            <w:r w:rsidRPr="00B2307E">
              <w:t xml:space="preserve"> </w:t>
            </w:r>
            <w:r w:rsidRPr="00B2307E">
              <w:rPr>
                <w:lang w:val="el-GR"/>
              </w:rPr>
              <w:t>ἀπέρχεται</w:t>
            </w:r>
            <w:r w:rsidRPr="00B2307E">
              <w:t xml:space="preserve"> </w:t>
            </w:r>
            <w:r w:rsidRPr="00B2307E">
              <w:rPr>
                <w:lang w:val="el-GR"/>
              </w:rPr>
              <w:t>ἐκ</w:t>
            </w:r>
            <w:r w:rsidRPr="00B2307E">
              <w:t xml:space="preserve"> </w:t>
            </w:r>
            <w:r w:rsidRPr="00B2307E">
              <w:rPr>
                <w:lang w:val="el-GR"/>
              </w:rPr>
              <w:t>τοῦ</w:t>
            </w:r>
            <w:r w:rsidRPr="00B2307E">
              <w:t xml:space="preserve"> </w:t>
            </w:r>
            <w:r w:rsidRPr="00B2307E">
              <w:rPr>
                <w:lang w:val="el-GR"/>
              </w:rPr>
              <w:t>ζῆν</w:t>
            </w:r>
            <w:r w:rsidRPr="00B2307E">
              <w:t xml:space="preserve">; </w:t>
            </w:r>
            <w:r w:rsidRPr="00B2307E">
              <w:rPr>
                <w:lang w:val="el-GR"/>
              </w:rPr>
              <w:t>ἐν</w:t>
            </w:r>
            <w:r w:rsidRPr="00B2307E">
              <w:t xml:space="preserve"> </w:t>
            </w:r>
            <w:r w:rsidRPr="00B2307E">
              <w:rPr>
                <w:lang w:val="el-GR"/>
              </w:rPr>
              <w:t>ἑτοίμῳ</w:t>
            </w:r>
            <w:r w:rsidRPr="00B2307E">
              <w:t xml:space="preserve"> </w:t>
            </w:r>
            <w:r w:rsidRPr="00B2307E">
              <w:rPr>
                <w:lang w:val="el-GR"/>
              </w:rPr>
              <w:t>γὰρ</w:t>
            </w:r>
            <w:r w:rsidRPr="00B2307E">
              <w:t xml:space="preserve"> </w:t>
            </w:r>
            <w:r w:rsidRPr="00B2307E">
              <w:rPr>
                <w:lang w:val="el-GR"/>
              </w:rPr>
              <w:t>αὐτῷ</w:t>
            </w:r>
            <w:r w:rsidRPr="00B2307E">
              <w:t xml:space="preserve"> </w:t>
            </w:r>
            <w:r w:rsidRPr="00B2307E">
              <w:rPr>
                <w:lang w:val="el-GR"/>
              </w:rPr>
              <w:t>τοῦτ</w:t>
            </w:r>
            <w:r w:rsidRPr="00B2307E">
              <w:t xml:space="preserve">’ </w:t>
            </w:r>
            <w:r w:rsidRPr="00B2307E">
              <w:rPr>
                <w:lang w:val="el-GR"/>
              </w:rPr>
              <w:t>ἐστίν</w:t>
            </w:r>
            <w:r w:rsidRPr="00B2307E">
              <w:t xml:space="preserve">, </w:t>
            </w:r>
            <w:r w:rsidRPr="00B2307E">
              <w:rPr>
                <w:lang w:val="el-GR"/>
              </w:rPr>
              <w:t>εἴπερ</w:t>
            </w:r>
            <w:r w:rsidRPr="00B2307E">
              <w:t xml:space="preserve"> </w:t>
            </w:r>
            <w:r w:rsidRPr="00B2307E">
              <w:rPr>
                <w:lang w:val="el-GR"/>
              </w:rPr>
              <w:t>ἦν</w:t>
            </w:r>
            <w:r w:rsidRPr="00B2307E">
              <w:t xml:space="preserve"> </w:t>
            </w:r>
            <w:r w:rsidRPr="00B2307E">
              <w:rPr>
                <w:lang w:val="el-GR"/>
              </w:rPr>
              <w:t>βεβουλευμένον</w:t>
            </w:r>
            <w:r w:rsidRPr="00B2307E">
              <w:rPr>
                <w:rStyle w:val="Funotenzeichen"/>
                <w:lang w:val="el-GR"/>
              </w:rPr>
              <w:footnoteReference w:id="2"/>
            </w:r>
            <w:r w:rsidRPr="00B2307E">
              <w:t xml:space="preserve"> </w:t>
            </w:r>
            <w:r w:rsidRPr="00B2307E">
              <w:rPr>
                <w:lang w:val="el-GR"/>
              </w:rPr>
              <w:t>αὐτῷ</w:t>
            </w:r>
            <w:r w:rsidRPr="00B2307E">
              <w:t xml:space="preserve"> </w:t>
            </w:r>
            <w:r w:rsidRPr="00B2307E">
              <w:rPr>
                <w:lang w:val="el-GR"/>
              </w:rPr>
              <w:t>βεβαίως</w:t>
            </w:r>
            <w:r w:rsidRPr="00B2307E">
              <w:t xml:space="preserve">· </w:t>
            </w:r>
            <w:r w:rsidRPr="00B2307E">
              <w:rPr>
                <w:lang w:val="el-GR"/>
              </w:rPr>
              <w:t>εἰ</w:t>
            </w:r>
            <w:r w:rsidRPr="00B2307E">
              <w:t xml:space="preserve"> </w:t>
            </w:r>
            <w:r w:rsidRPr="00B2307E">
              <w:rPr>
                <w:lang w:val="el-GR"/>
              </w:rPr>
              <w:t>δὲ</w:t>
            </w:r>
            <w:r w:rsidRPr="00B2307E">
              <w:t xml:space="preserve"> </w:t>
            </w:r>
            <w:r w:rsidRPr="00B2307E">
              <w:rPr>
                <w:lang w:val="el-GR"/>
              </w:rPr>
              <w:t>μωκώμενος</w:t>
            </w:r>
            <w:r w:rsidRPr="00B2307E">
              <w:t xml:space="preserve">, </w:t>
            </w:r>
            <w:r w:rsidRPr="00B2307E">
              <w:rPr>
                <w:lang w:val="el-GR"/>
              </w:rPr>
              <w:t>μάταιος</w:t>
            </w:r>
            <w:r w:rsidRPr="00B2307E">
              <w:t xml:space="preserve"> </w:t>
            </w:r>
            <w:r w:rsidRPr="00B2307E">
              <w:rPr>
                <w:lang w:val="el-GR"/>
              </w:rPr>
              <w:t>ἐν</w:t>
            </w:r>
            <w:r w:rsidRPr="00B2307E">
              <w:t xml:space="preserve"> </w:t>
            </w:r>
            <w:r w:rsidRPr="00B2307E">
              <w:rPr>
                <w:lang w:val="el-GR"/>
              </w:rPr>
              <w:t>τοῖς</w:t>
            </w:r>
            <w:r w:rsidRPr="00B2307E">
              <w:t xml:space="preserve"> </w:t>
            </w:r>
            <w:r w:rsidRPr="00B2307E">
              <w:rPr>
                <w:lang w:val="el-GR"/>
              </w:rPr>
              <w:t>οὐκ</w:t>
            </w:r>
            <w:r w:rsidRPr="00B2307E">
              <w:t xml:space="preserve"> </w:t>
            </w:r>
            <w:r w:rsidRPr="00B2307E">
              <w:rPr>
                <w:lang w:val="el-GR"/>
              </w:rPr>
              <w:t>ἐπιδεχομένοις</w:t>
            </w:r>
            <w:r w:rsidRPr="00B2307E">
              <w:t xml:space="preserve">. </w:t>
            </w:r>
          </w:p>
        </w:tc>
        <w:tc>
          <w:tcPr>
            <w:tcW w:w="703" w:type="dxa"/>
          </w:tcPr>
          <w:p w14:paraId="025CFC98" w14:textId="77777777" w:rsidR="00B2307E" w:rsidRPr="00B2307E" w:rsidRDefault="00B2307E" w:rsidP="00CB14F8">
            <w:pPr>
              <w:pStyle w:val="StandardWeb"/>
              <w:rPr>
                <w:color w:val="0000FF"/>
                <w:sz w:val="17"/>
                <w:szCs w:val="17"/>
              </w:rPr>
            </w:pPr>
          </w:p>
        </w:tc>
      </w:tr>
      <w:tr w:rsidR="00B2307E" w:rsidRPr="00B2307E" w14:paraId="79800DD7" w14:textId="40E6E452" w:rsidTr="00B2307E">
        <w:tc>
          <w:tcPr>
            <w:tcW w:w="9073" w:type="dxa"/>
          </w:tcPr>
          <w:p w14:paraId="0A3DA217" w14:textId="77777777" w:rsidR="00B2307E" w:rsidRPr="00B2307E" w:rsidRDefault="00B2307E" w:rsidP="00CB14F8">
            <w:pPr>
              <w:pStyle w:val="StandardWeb"/>
              <w:rPr>
                <w:lang w:val="el-GR"/>
              </w:rPr>
            </w:pPr>
            <w:r w:rsidRPr="00B2307E">
              <w:rPr>
                <w:lang w:val="el-GR"/>
              </w:rPr>
              <w:t>Μνημονευτέον</w:t>
            </w:r>
            <w:r w:rsidRPr="00B2307E">
              <w:t xml:space="preserve"> </w:t>
            </w:r>
            <w:r w:rsidRPr="00B2307E">
              <w:rPr>
                <w:lang w:val="el-GR"/>
              </w:rPr>
              <w:t>δὲ</w:t>
            </w:r>
            <w:r w:rsidRPr="00B2307E">
              <w:t xml:space="preserve"> </w:t>
            </w:r>
            <w:r w:rsidRPr="00B2307E">
              <w:rPr>
                <w:lang w:val="el-GR"/>
              </w:rPr>
              <w:t>ὡς</w:t>
            </w:r>
            <w:r w:rsidRPr="00B2307E">
              <w:t xml:space="preserve"> </w:t>
            </w:r>
            <w:r w:rsidRPr="00B2307E">
              <w:rPr>
                <w:lang w:val="el-GR"/>
              </w:rPr>
              <w:t>τὸ</w:t>
            </w:r>
            <w:r w:rsidRPr="00B2307E">
              <w:t xml:space="preserve"> </w:t>
            </w:r>
            <w:r w:rsidRPr="00B2307E">
              <w:rPr>
                <w:lang w:val="el-GR"/>
              </w:rPr>
              <w:t>μέλλον</w:t>
            </w:r>
            <w:r w:rsidRPr="00B2307E">
              <w:t xml:space="preserve"> </w:t>
            </w:r>
            <w:r w:rsidRPr="00B2307E">
              <w:rPr>
                <w:lang w:val="el-GR"/>
              </w:rPr>
              <w:t>οὔτε</w:t>
            </w:r>
            <w:r w:rsidRPr="00B2307E">
              <w:t xml:space="preserve"> </w:t>
            </w:r>
            <w:r w:rsidRPr="00B2307E">
              <w:rPr>
                <w:lang w:val="el-GR"/>
              </w:rPr>
              <w:t>πάντως</w:t>
            </w:r>
            <w:r w:rsidRPr="00B2307E">
              <w:t xml:space="preserve"> </w:t>
            </w:r>
            <w:r w:rsidRPr="00B2307E">
              <w:rPr>
                <w:lang w:val="el-GR"/>
              </w:rPr>
              <w:t>ἡμέτερον</w:t>
            </w:r>
            <w:r w:rsidRPr="00B2307E">
              <w:t xml:space="preserve"> </w:t>
            </w:r>
            <w:r w:rsidRPr="00B2307E">
              <w:rPr>
                <w:lang w:val="el-GR"/>
              </w:rPr>
              <w:t>οὔτε</w:t>
            </w:r>
            <w:r w:rsidRPr="00B2307E">
              <w:t xml:space="preserve"> </w:t>
            </w:r>
            <w:r w:rsidRPr="00B2307E">
              <w:rPr>
                <w:lang w:val="el-GR"/>
              </w:rPr>
              <w:t>πάντως</w:t>
            </w:r>
            <w:r w:rsidRPr="00B2307E">
              <w:t xml:space="preserve"> </w:t>
            </w:r>
            <w:r w:rsidRPr="00B2307E">
              <w:rPr>
                <w:lang w:val="el-GR"/>
              </w:rPr>
              <w:t>οὐχ</w:t>
            </w:r>
            <w:r w:rsidRPr="00B2307E">
              <w:t xml:space="preserve"> </w:t>
            </w:r>
            <w:r w:rsidRPr="00B2307E">
              <w:rPr>
                <w:lang w:val="el-GR"/>
              </w:rPr>
              <w:t>ἡμέτερον</w:t>
            </w:r>
            <w:r w:rsidRPr="00B2307E">
              <w:t xml:space="preserve">, </w:t>
            </w:r>
            <w:r w:rsidRPr="00B2307E">
              <w:rPr>
                <w:lang w:val="el-GR"/>
              </w:rPr>
              <w:t>ἵνα</w:t>
            </w:r>
            <w:r w:rsidRPr="00B2307E">
              <w:t xml:space="preserve"> </w:t>
            </w:r>
            <w:r w:rsidRPr="00B2307E">
              <w:rPr>
                <w:lang w:val="el-GR"/>
              </w:rPr>
              <w:t>μήτε</w:t>
            </w:r>
            <w:r w:rsidRPr="00B2307E">
              <w:t xml:space="preserve"> </w:t>
            </w:r>
            <w:r w:rsidRPr="00B2307E">
              <w:rPr>
                <w:lang w:val="el-GR"/>
              </w:rPr>
              <w:t>πάντως</w:t>
            </w:r>
            <w:r w:rsidRPr="00B2307E">
              <w:t xml:space="preserve"> </w:t>
            </w:r>
            <w:r w:rsidRPr="00B2307E">
              <w:rPr>
                <w:lang w:val="el-GR"/>
              </w:rPr>
              <w:t>προσμένωμεν</w:t>
            </w:r>
            <w:r w:rsidRPr="00B2307E">
              <w:t xml:space="preserve"> </w:t>
            </w:r>
            <w:r w:rsidRPr="00B2307E">
              <w:rPr>
                <w:lang w:val="el-GR"/>
              </w:rPr>
              <w:t>ὡς</w:t>
            </w:r>
            <w:r w:rsidRPr="00B2307E">
              <w:t xml:space="preserve"> </w:t>
            </w:r>
            <w:r w:rsidRPr="00B2307E">
              <w:rPr>
                <w:lang w:val="el-GR"/>
              </w:rPr>
              <w:t>ἐσόμενον</w:t>
            </w:r>
            <w:r w:rsidRPr="00B2307E">
              <w:t xml:space="preserve"> </w:t>
            </w:r>
            <w:r w:rsidRPr="00B2307E">
              <w:rPr>
                <w:lang w:val="el-GR"/>
              </w:rPr>
              <w:t>μήτε</w:t>
            </w:r>
            <w:r w:rsidRPr="00B2307E">
              <w:t xml:space="preserve"> </w:t>
            </w:r>
            <w:r w:rsidRPr="00B2307E">
              <w:rPr>
                <w:lang w:val="el-GR"/>
              </w:rPr>
              <w:t>ἀπελπίζωμεν</w:t>
            </w:r>
            <w:r w:rsidRPr="00B2307E">
              <w:t xml:space="preserve"> </w:t>
            </w:r>
            <w:r w:rsidRPr="00B2307E">
              <w:rPr>
                <w:lang w:val="el-GR"/>
              </w:rPr>
              <w:t>ὡς</w:t>
            </w:r>
            <w:r w:rsidRPr="00B2307E">
              <w:t xml:space="preserve"> </w:t>
            </w:r>
            <w:r w:rsidRPr="00B2307E">
              <w:rPr>
                <w:lang w:val="el-GR"/>
              </w:rPr>
              <w:t>πάντως</w:t>
            </w:r>
            <w:r w:rsidRPr="00B2307E">
              <w:t xml:space="preserve"> </w:t>
            </w:r>
            <w:r w:rsidRPr="00B2307E">
              <w:rPr>
                <w:lang w:val="el-GR"/>
              </w:rPr>
              <w:t>οὐκ</w:t>
            </w:r>
            <w:r w:rsidRPr="00B2307E">
              <w:t xml:space="preserve"> </w:t>
            </w:r>
            <w:r w:rsidRPr="00B2307E">
              <w:rPr>
                <w:lang w:val="el-GR"/>
              </w:rPr>
              <w:t>ἐσόμενον</w:t>
            </w:r>
            <w:r w:rsidRPr="00B2307E">
              <w:t xml:space="preserve">. </w:t>
            </w:r>
            <w:r w:rsidRPr="00B2307E">
              <w:rPr>
                <w:lang w:val="el-GR"/>
              </w:rPr>
              <w:t xml:space="preserve">Ἀναλογιστέον δὲ ὡς τῶν ἐπιθυμιῶν αἱ μέν εἰσι φυσικαί, αἱ δὲ κεναί, καὶ τῶν φυσικῶν αἱ μὲν ἀναγκαῖαι, αἱ δὲ φυσικαὶ μόνον· τῶν δὲ ἀναγκαίων αἱ μὲν πρὸς εὐδαιμονίαν εἰσὶν ἀναγκαῖαι, αἱ δὲ πρὸς τὴν τοῦ σώματος ἀοχλησίαν, αἱ δὲ πρὸς αὐτὸ τὸ ζῆν. </w:t>
            </w:r>
          </w:p>
        </w:tc>
        <w:tc>
          <w:tcPr>
            <w:tcW w:w="703" w:type="dxa"/>
          </w:tcPr>
          <w:p w14:paraId="74D1F4DA" w14:textId="77777777" w:rsidR="00B2307E" w:rsidRPr="00B2307E" w:rsidRDefault="00B2307E" w:rsidP="00CB14F8">
            <w:pPr>
              <w:pStyle w:val="StandardWeb"/>
              <w:rPr>
                <w:lang w:val="el-GR"/>
              </w:rPr>
            </w:pPr>
          </w:p>
        </w:tc>
      </w:tr>
      <w:tr w:rsidR="00B2307E" w:rsidRPr="00B2307E" w14:paraId="518F05BE" w14:textId="08738968" w:rsidTr="00B2307E">
        <w:tc>
          <w:tcPr>
            <w:tcW w:w="9073" w:type="dxa"/>
          </w:tcPr>
          <w:p w14:paraId="409FE7DE" w14:textId="77777777" w:rsidR="00B2307E" w:rsidRPr="00B2307E" w:rsidRDefault="00B2307E" w:rsidP="00CB14F8">
            <w:pPr>
              <w:pStyle w:val="StandardWeb"/>
              <w:rPr>
                <w:lang w:val="el-GR"/>
              </w:rPr>
            </w:pPr>
            <w:r w:rsidRPr="00B2307E">
              <w:rPr>
                <w:color w:val="0000FF"/>
                <w:sz w:val="17"/>
                <w:szCs w:val="17"/>
                <w:lang w:val="el-GR"/>
              </w:rPr>
              <w:t>[128]</w:t>
            </w:r>
            <w:r w:rsidRPr="00B2307E">
              <w:rPr>
                <w:lang w:val="el-GR"/>
              </w:rPr>
              <w:t xml:space="preserve"> τούτων γὰρ ἀπλανὴς θεωρία πᾶσαν αἵρεσιν καὶ φυγὴν ἐπανάγειν οἶδεν ἐπὶ τὴν τοῦ σώματος ὑγίειαν καὶ τὴν τῆς ψυχῆς ἀταραξίαν, ἐπεὶ τοῦτο τοῦ μακαρίως ζῆν ἐστι τέλος. </w:t>
            </w:r>
            <w:r w:rsidRPr="00B2307E">
              <w:rPr>
                <w:lang w:val="el-GR"/>
              </w:rPr>
              <w:lastRenderedPageBreak/>
              <w:t xml:space="preserve">τούτου γὰρ χάριν πάντα πράττομεν, ὅπως μήτε ἀλγῶμεν μήτε ταρβῶμεν. ὅταν δὲ ἅπαξ τοῦτο περὶ ἡμᾶς γένηται, λύεται πᾶς ὁ τῆς ψυχῆς χειμών, οὐκ ἔχοντος τοῦ ζῴου βαδίζειν ὡς πρὸς ἐνδέον τι καὶ ζητεῖν ἕτερον ᾧ τὸ τῆς ψυχῆς καὶ τοῦ σώματος ἀγαθὸν συμπληρώσεται. τότε γὰρ ἡδονῆς χρείαν ἔχομεν, ὅταν ἐκ τοῦ μὴ παρεῖναι τὴν ἡδονὴν ἀλγῶμεν· ὅταν δὲ μὴ ἀλγῶμεν, οὐκέτι τῆς ἡδονῆς δεόμεθα. Καὶ διὰ τοῦτο τὴν ἡδονὴν ἀρχὴν καὶ τέλος λέγομεν εἶναι τοῦ μακαρίως ζῆν. </w:t>
            </w:r>
          </w:p>
        </w:tc>
        <w:tc>
          <w:tcPr>
            <w:tcW w:w="703" w:type="dxa"/>
          </w:tcPr>
          <w:p w14:paraId="536B221D" w14:textId="77777777" w:rsidR="00B2307E" w:rsidRPr="00B2307E" w:rsidRDefault="00B2307E" w:rsidP="00CB14F8">
            <w:pPr>
              <w:pStyle w:val="StandardWeb"/>
              <w:rPr>
                <w:color w:val="0000FF"/>
                <w:sz w:val="17"/>
                <w:szCs w:val="17"/>
                <w:lang w:val="el-GR"/>
              </w:rPr>
            </w:pPr>
          </w:p>
        </w:tc>
      </w:tr>
      <w:tr w:rsidR="00B2307E" w:rsidRPr="00B2307E" w14:paraId="74A69A7B" w14:textId="728B15B8" w:rsidTr="00B2307E">
        <w:tc>
          <w:tcPr>
            <w:tcW w:w="9073" w:type="dxa"/>
          </w:tcPr>
          <w:p w14:paraId="76DC188C" w14:textId="77777777" w:rsidR="00B2307E" w:rsidRPr="00B2307E" w:rsidRDefault="00B2307E" w:rsidP="00CB14F8">
            <w:pPr>
              <w:pStyle w:val="StandardWeb"/>
              <w:rPr>
                <w:lang w:val="el-GR"/>
              </w:rPr>
            </w:pPr>
            <w:r w:rsidRPr="00B2307E">
              <w:rPr>
                <w:color w:val="0000FF"/>
                <w:sz w:val="17"/>
                <w:szCs w:val="17"/>
                <w:lang w:val="el-GR"/>
              </w:rPr>
              <w:t>[129]</w:t>
            </w:r>
            <w:r w:rsidRPr="00B2307E">
              <w:rPr>
                <w:lang w:val="el-GR"/>
              </w:rPr>
              <w:t xml:space="preserve"> ταύτην γὰρ ἀγαθὸν πρῶτον καὶ συγγενικὸν ἔγνωμεν, καὶ ἀπὸ ταύτης καταρχόμεθα πάσης αἱρέσεως καὶ φυγῆς, καὶ ἐπὶ ταύτην καταντῶμεν ὡς κανόνι τῷ πάθει πᾶν ἀγαθὸν κρίνοντες. Καὶ ἐπεὶ πρῶτον ἀγαθὸν τοῦτο καὶ σύμφυτον, διὰ τοῦτο καὶ οὐ πᾶσαν ἡδονὴν αἱρούμεθα, ἀλλ’ ἔστιν ὅτε πολλὰς ἡδονὰς ὑπερβαίνομεν, ὅταν πλεῖον ἡμῖν τὸ δυσχερὲς ἐκ τούτων ἕπηται· καὶ πολλὰς ἀλγηδόνας ἡδονῶν κρείττους νομίζομεν, ἐπειδὰν μείζων ἡμῖν ἡδονὴ παρακολουθῇ πολὺν χρόνον ὑπομείνασι τὰς ἀλγηδόνας. πᾶσα οὖν ἡδονὴ διὰ τὸ φύσιν ἔχειν οἰκείαν</w:t>
            </w:r>
            <w:r w:rsidRPr="00B2307E">
              <w:rPr>
                <w:rStyle w:val="Funotenzeichen"/>
                <w:lang w:val="el-GR"/>
              </w:rPr>
              <w:footnoteReference w:id="3"/>
            </w:r>
            <w:r w:rsidRPr="00B2307E">
              <w:rPr>
                <w:lang w:val="el-GR"/>
              </w:rPr>
              <w:t xml:space="preserve"> ἀγαθόν</w:t>
            </w:r>
            <w:r w:rsidRPr="00B2307E">
              <w:rPr>
                <w:rStyle w:val="Funotenzeichen"/>
                <w:lang w:val="el-GR"/>
              </w:rPr>
              <w:footnoteReference w:id="4"/>
            </w:r>
            <w:r w:rsidRPr="00B2307E">
              <w:rPr>
                <w:lang w:val="el-GR"/>
              </w:rPr>
              <w:t>, οὐ πᾶσα μέντοι αἱρετή· καθάπερ καὶ ἀλγηδὼν πᾶσα κακόν, οὐ πᾶσα δὲ ἀεὶ φευκτὴ πεφυκυῖα</w:t>
            </w:r>
            <w:r w:rsidRPr="00B2307E">
              <w:rPr>
                <w:rStyle w:val="Funotenzeichen"/>
                <w:lang w:val="el-GR"/>
              </w:rPr>
              <w:footnoteReference w:id="5"/>
            </w:r>
            <w:r w:rsidRPr="00B2307E">
              <w:rPr>
                <w:lang w:val="el-GR"/>
              </w:rPr>
              <w:t xml:space="preserve">. </w:t>
            </w:r>
          </w:p>
        </w:tc>
        <w:tc>
          <w:tcPr>
            <w:tcW w:w="703" w:type="dxa"/>
          </w:tcPr>
          <w:p w14:paraId="5CCD189F" w14:textId="77777777" w:rsidR="00B2307E" w:rsidRPr="00B2307E" w:rsidRDefault="00B2307E" w:rsidP="00CB14F8">
            <w:pPr>
              <w:pStyle w:val="StandardWeb"/>
              <w:rPr>
                <w:color w:val="0000FF"/>
                <w:sz w:val="17"/>
                <w:szCs w:val="17"/>
                <w:lang w:val="el-GR"/>
              </w:rPr>
            </w:pPr>
          </w:p>
        </w:tc>
      </w:tr>
      <w:tr w:rsidR="00B2307E" w:rsidRPr="00B2307E" w14:paraId="1DA5283F" w14:textId="1AAAC230" w:rsidTr="00B2307E">
        <w:tc>
          <w:tcPr>
            <w:tcW w:w="9073" w:type="dxa"/>
          </w:tcPr>
          <w:p w14:paraId="368168FB" w14:textId="77777777" w:rsidR="00B2307E" w:rsidRPr="00B2307E" w:rsidRDefault="00B2307E" w:rsidP="00CB14F8">
            <w:pPr>
              <w:pStyle w:val="StandardWeb"/>
              <w:rPr>
                <w:lang w:val="el-GR"/>
              </w:rPr>
            </w:pPr>
            <w:r w:rsidRPr="00B2307E">
              <w:rPr>
                <w:color w:val="0000FF"/>
                <w:sz w:val="17"/>
                <w:szCs w:val="17"/>
                <w:lang w:val="el-GR"/>
              </w:rPr>
              <w:t>[130]</w:t>
            </w:r>
            <w:r w:rsidRPr="00B2307E">
              <w:rPr>
                <w:lang w:val="el-GR"/>
              </w:rPr>
              <w:t xml:space="preserve"> τῇ μέντοι συμμετρήσει καὶ συμφερόντων καὶ ἀσυμφόρων βλέψει ταῦτα πάντα κρίνειν καθήκει. χρώμεθα γὰρ τῷ μὲν ἀγαθῷ κατά τινας χρόνους ὡς κακῷ, τῷ δὲ κακῷ τοὔμπαλιν ὡς ἀγαθῷ. Καὶ τὴν αὐτάρκειαν δὲ ἀγαθὸν μέγα νομίζομεν, οὐχ ἵνα πάντως τοῖς ὀλίγοις χρώμεθα, ἀλλ’ ὅπως ἐὰν μὴ ἔχωμεν τὰ πολλά, τοῖς ὀλίγοις ἀρκώμεθα, πεπεισμένοι γνησίως ὅτι ἥδιστα πολυτελείας ἀπολαύουσιν οἱ ἥκιστα ταύτης δεόμενοι, καὶ ὅτι τὸ μὲν φυσικὸν πᾶν εὐπόριστόν ἐστι, τὸ δὲ κενὸν δυσπόριστον, ὅτι τε λιτοὶ χυλοὶ ἴσην πολυτελεῖ διαίτῃ τὴν ἡδονὴν ἐπιφέρουσιν, ὅταν ἅπαν τὸ ἀλγοῦν κατ’ ἔνδειαν</w:t>
            </w:r>
            <w:r w:rsidRPr="00B2307E">
              <w:rPr>
                <w:rStyle w:val="Funotenzeichen"/>
                <w:lang w:val="el-GR"/>
              </w:rPr>
              <w:footnoteReference w:id="6"/>
            </w:r>
            <w:r w:rsidRPr="00B2307E">
              <w:rPr>
                <w:lang w:val="el-GR"/>
              </w:rPr>
              <w:t xml:space="preserve"> ἐξαιρεθῇ, </w:t>
            </w:r>
            <w:r w:rsidRPr="00B2307E">
              <w:rPr>
                <w:color w:val="0000FF"/>
                <w:sz w:val="17"/>
                <w:szCs w:val="17"/>
                <w:lang w:val="el-GR"/>
              </w:rPr>
              <w:t>[131]</w:t>
            </w:r>
            <w:r w:rsidRPr="00B2307E">
              <w:rPr>
                <w:lang w:val="el-GR"/>
              </w:rPr>
              <w:t xml:space="preserve"> καὶ μᾶζα καὶ ὕδωρ τὴν ἀκροτάτην ἀποδίδωσιν ἡδονήν, ἐπειδὰν ἐνδέων τις αὐτὰ προσενέγκηται. </w:t>
            </w:r>
          </w:p>
        </w:tc>
        <w:tc>
          <w:tcPr>
            <w:tcW w:w="703" w:type="dxa"/>
          </w:tcPr>
          <w:p w14:paraId="23E85F84" w14:textId="77777777" w:rsidR="00B2307E" w:rsidRPr="00B2307E" w:rsidRDefault="00B2307E" w:rsidP="00CB14F8">
            <w:pPr>
              <w:pStyle w:val="StandardWeb"/>
              <w:rPr>
                <w:color w:val="0000FF"/>
                <w:sz w:val="17"/>
                <w:szCs w:val="17"/>
                <w:lang w:val="el-GR"/>
              </w:rPr>
            </w:pPr>
          </w:p>
        </w:tc>
      </w:tr>
      <w:tr w:rsidR="00B2307E" w:rsidRPr="00B2307E" w14:paraId="4BF6B7D3" w14:textId="6A2323B9" w:rsidTr="00B2307E">
        <w:tc>
          <w:tcPr>
            <w:tcW w:w="9073" w:type="dxa"/>
          </w:tcPr>
          <w:p w14:paraId="6405C22A" w14:textId="77777777" w:rsidR="00B2307E" w:rsidRPr="00B2307E" w:rsidRDefault="00B2307E" w:rsidP="00CB14F8">
            <w:pPr>
              <w:pStyle w:val="StandardWeb"/>
              <w:rPr>
                <w:lang w:val="el-GR"/>
              </w:rPr>
            </w:pPr>
            <w:r w:rsidRPr="00B2307E">
              <w:rPr>
                <w:lang w:val="el-GR"/>
              </w:rPr>
              <w:t>τὸ συνεθίζειν οὖν ἐν ταῖς ἁπλαῖς καὶ οὐ πολυτελέσι διαίταις καὶ ὑγιείας ἐστὶ συμπληρωτικὸν καὶ πρὸς τὰς ἀναγκαίας τοῦ βίου χρήσεις ἄοκνον ποιεῖ τὸν ἄνθρωπον καὶ τοῖς πολυτελέσιν</w:t>
            </w:r>
            <w:r w:rsidRPr="00B2307E">
              <w:rPr>
                <w:rStyle w:val="Funotenzeichen"/>
                <w:lang w:val="el-GR"/>
              </w:rPr>
              <w:footnoteReference w:id="7"/>
            </w:r>
            <w:r w:rsidRPr="00B2307E">
              <w:rPr>
                <w:lang w:val="el-GR"/>
              </w:rPr>
              <w:t xml:space="preserve"> ἐκ διαλειμμάτων προσερχομένοις κρεῖττον ἡμᾶς διατίθησι καὶ πρὸς τὴν τύχην ἀφόβους παρασκευάζει. Ὅταν οὖν λέγωμεν ἡδονὴν τέλος ὑπάρχειν, οὐ τὰς τῶν ἀσώτων ἡδονὰς καὶ τὰς ἐν ἀπολαύσει κειμένας λέγομεν, ὥς τινες ἀγνοοῦντες καὶ οὐχ ὁμολογοῦντες ἢ κακῶς ἐκδεχόμενοι νομίζουσιν, ἀλλὰ τὸ μήτε ἀλγεῖν κατὰ σῶμα μήτε ταράττεσθαι κατὰ ψυχήν· </w:t>
            </w:r>
          </w:p>
        </w:tc>
        <w:tc>
          <w:tcPr>
            <w:tcW w:w="703" w:type="dxa"/>
          </w:tcPr>
          <w:p w14:paraId="611E67CA" w14:textId="77777777" w:rsidR="00B2307E" w:rsidRPr="00B2307E" w:rsidRDefault="00B2307E" w:rsidP="00CB14F8">
            <w:pPr>
              <w:pStyle w:val="StandardWeb"/>
              <w:rPr>
                <w:lang w:val="el-GR"/>
              </w:rPr>
            </w:pPr>
          </w:p>
        </w:tc>
      </w:tr>
      <w:tr w:rsidR="00B2307E" w:rsidRPr="00B2307E" w14:paraId="65586C6B" w14:textId="716DC2E3" w:rsidTr="00B2307E">
        <w:tc>
          <w:tcPr>
            <w:tcW w:w="9073" w:type="dxa"/>
          </w:tcPr>
          <w:p w14:paraId="52F6E913" w14:textId="77777777" w:rsidR="00B2307E" w:rsidRPr="00B2307E" w:rsidRDefault="00B2307E" w:rsidP="00CB14F8">
            <w:pPr>
              <w:pStyle w:val="StandardWeb"/>
              <w:rPr>
                <w:lang w:val="el-GR"/>
              </w:rPr>
            </w:pPr>
            <w:r w:rsidRPr="00B2307E">
              <w:rPr>
                <w:color w:val="0000FF"/>
                <w:sz w:val="17"/>
                <w:szCs w:val="17"/>
                <w:lang w:val="el-GR"/>
              </w:rPr>
              <w:t>[132]</w:t>
            </w:r>
            <w:r w:rsidRPr="00B2307E">
              <w:rPr>
                <w:lang w:val="el-GR"/>
              </w:rPr>
              <w:t xml:space="preserve"> οὐ γὰρ πότοι καὶ κῶμοι συνείροντες οὐδ’ ἀπολαύσεις παίδων καὶ γυναικῶν οὐδ’ ἰχθύων καὶ τῶν ἄλλων, ὅσα φέρει πολυτελὴς τράπεζα, τὸν ἡδὺν γεννᾷ βίον, ἀλλὰ νήφων λογισμὸς καὶ τὰς αἰτίας ἐξερευνῶν πάσης αἱρέσεως καὶ φυγῆς καὶ τὰς δόξας ἐξελαύνων, ἐξ ὧν πλεῖστος τὰς ψυχὰς καταλαμβάνει θόρυβος. </w:t>
            </w:r>
          </w:p>
        </w:tc>
        <w:tc>
          <w:tcPr>
            <w:tcW w:w="703" w:type="dxa"/>
          </w:tcPr>
          <w:p w14:paraId="1ADA6E56" w14:textId="77777777" w:rsidR="00B2307E" w:rsidRPr="00B2307E" w:rsidRDefault="00B2307E" w:rsidP="00CB14F8">
            <w:pPr>
              <w:pStyle w:val="StandardWeb"/>
              <w:rPr>
                <w:color w:val="0000FF"/>
                <w:sz w:val="17"/>
                <w:szCs w:val="17"/>
                <w:lang w:val="el-GR"/>
              </w:rPr>
            </w:pPr>
          </w:p>
        </w:tc>
      </w:tr>
      <w:tr w:rsidR="00B2307E" w:rsidRPr="00B2307E" w14:paraId="31A4E0E1" w14:textId="2B87F3D8" w:rsidTr="00B2307E">
        <w:tc>
          <w:tcPr>
            <w:tcW w:w="9073" w:type="dxa"/>
          </w:tcPr>
          <w:p w14:paraId="0C444201" w14:textId="77777777" w:rsidR="00B2307E" w:rsidRPr="00B2307E" w:rsidRDefault="00B2307E" w:rsidP="00CB14F8">
            <w:pPr>
              <w:pStyle w:val="StandardWeb"/>
              <w:rPr>
                <w:lang w:val="el-GR"/>
              </w:rPr>
            </w:pPr>
            <w:r w:rsidRPr="00B2307E">
              <w:rPr>
                <w:lang w:val="el-GR"/>
              </w:rPr>
              <w:t xml:space="preserve">Τούτων δὲ πάντων ἀρχὴ καὶ τὸ μέγιστον ἀγαθὸν φρόνησις. διὸ καὶ φιλοσοφίας τιμιώτερον ὑπάρχει φρόνησις, ἐξ ἧς αἱ λοιπαὶ πᾶσαι πεφύκασιν ἀρεταί, διδάσκουσα ὡς οὐκ ἔστιν ἡδέως ζῆν ἄνευ τοῦ φρονίμως καὶ καλῶς καὶ δικαίως οὐδὲ φρονίμως καὶ καλῶς καὶ δικαίως ἄνευ τοῦ ἡδέως. συμπεφύκασι γὰρ αἱ ἀρεταὶ τῷ ζῆν ἡδέως, καὶ τὸ ζῆν ἡδέως τούτων ἐστὶν ἀχώριστον. </w:t>
            </w:r>
          </w:p>
        </w:tc>
        <w:tc>
          <w:tcPr>
            <w:tcW w:w="703" w:type="dxa"/>
          </w:tcPr>
          <w:p w14:paraId="19A26AA1" w14:textId="77777777" w:rsidR="00B2307E" w:rsidRPr="00B2307E" w:rsidRDefault="00B2307E" w:rsidP="00CB14F8">
            <w:pPr>
              <w:pStyle w:val="StandardWeb"/>
              <w:rPr>
                <w:lang w:val="el-GR"/>
              </w:rPr>
            </w:pPr>
          </w:p>
        </w:tc>
      </w:tr>
      <w:tr w:rsidR="00B2307E" w:rsidRPr="00B2307E" w14:paraId="34E994A9" w14:textId="116EAB15" w:rsidTr="00B2307E">
        <w:tc>
          <w:tcPr>
            <w:tcW w:w="9073" w:type="dxa"/>
          </w:tcPr>
          <w:p w14:paraId="1D53DA47" w14:textId="77777777" w:rsidR="00B2307E" w:rsidRPr="00B2307E" w:rsidRDefault="00B2307E" w:rsidP="00CB14F8">
            <w:pPr>
              <w:pStyle w:val="StandardWeb"/>
              <w:rPr>
                <w:lang w:val="el-GR"/>
              </w:rPr>
            </w:pPr>
            <w:r w:rsidRPr="00B2307E">
              <w:rPr>
                <w:color w:val="0000FF"/>
                <w:sz w:val="17"/>
                <w:szCs w:val="17"/>
                <w:lang w:val="el-GR"/>
              </w:rPr>
              <w:t>[133]</w:t>
            </w:r>
            <w:r w:rsidRPr="00B2307E">
              <w:rPr>
                <w:lang w:val="el-GR"/>
              </w:rPr>
              <w:t xml:space="preserve"> Ἐπεὶ τίνα νομίζεις εἶναι κρείττονα τοῦ</w:t>
            </w:r>
            <w:r w:rsidRPr="00B2307E">
              <w:rPr>
                <w:rStyle w:val="Funotenzeichen"/>
                <w:lang w:val="el-GR"/>
              </w:rPr>
              <w:footnoteReference w:id="8"/>
            </w:r>
            <w:r w:rsidRPr="00B2307E">
              <w:rPr>
                <w:lang w:val="el-GR"/>
              </w:rPr>
              <w:t xml:space="preserve"> καὶ περὶ θεῶν ὅσια δοξάζοντος καὶ περὶ θανάτου διὰ παντὸς ἀφόβως ἔχοντος καὶ τὸ τῆς φύσεως ἐπιλελογισμένου τέλος, καὶ τὸ μὲν τῶν ἀγαθῶν πέρας ὡς ἔστιν εὐσυμπλήρωτόν τε καὶ εὐπόριστον διαλαμβάνοντος, τὸ δὲ τῶν κακῶν ὡς ἢ χρόνους ἢ πόνους ἔχει βραχεῖς; τὴν δὲ ὑπό τινων δεσπότιν εἰσαγομένην πάντων διαγελώντος &lt;εἱμαρμένην καὶ μᾶλλον ἃ μὲν κατ’ ἀνάγκην γίγνεσθαι λέγοντος,&gt; ἃ δὲ ἀπὸ τύχης, ἃ δὲ παρ’ ἡμᾶς; διὰ τὸ τὴν μὲν ἀνάγκην ἀνυπεύθυνον εἶναι, τὴν δὲ τύχην ἄστατον ὁρᾶν, τὸ δὲ παρ’ ἡμᾶς ἀδέσποτον, ᾧ καὶ τὸ μεμπτὸν καὶ τὸ ἐναντίον παρακολουθεῖν πέφυκεν. </w:t>
            </w:r>
          </w:p>
        </w:tc>
        <w:tc>
          <w:tcPr>
            <w:tcW w:w="703" w:type="dxa"/>
          </w:tcPr>
          <w:p w14:paraId="5DA5F82E" w14:textId="77777777" w:rsidR="00B2307E" w:rsidRPr="00B2307E" w:rsidRDefault="00B2307E" w:rsidP="00CB14F8">
            <w:pPr>
              <w:pStyle w:val="StandardWeb"/>
              <w:rPr>
                <w:color w:val="0000FF"/>
                <w:sz w:val="17"/>
                <w:szCs w:val="17"/>
                <w:lang w:val="el-GR"/>
              </w:rPr>
            </w:pPr>
          </w:p>
        </w:tc>
      </w:tr>
      <w:tr w:rsidR="00B2307E" w:rsidRPr="00B2307E" w14:paraId="08D3246F" w14:textId="76BBB2F6" w:rsidTr="00B2307E">
        <w:tc>
          <w:tcPr>
            <w:tcW w:w="9073" w:type="dxa"/>
          </w:tcPr>
          <w:p w14:paraId="7FF8DA14" w14:textId="77777777" w:rsidR="00B2307E" w:rsidRPr="00B2307E" w:rsidRDefault="00B2307E" w:rsidP="00CB14F8">
            <w:pPr>
              <w:pStyle w:val="StandardWeb"/>
              <w:rPr>
                <w:lang w:val="el-GR"/>
              </w:rPr>
            </w:pPr>
            <w:r w:rsidRPr="00B2307E">
              <w:rPr>
                <w:color w:val="0000FF"/>
                <w:sz w:val="17"/>
                <w:szCs w:val="17"/>
                <w:lang w:val="el-GR"/>
              </w:rPr>
              <w:lastRenderedPageBreak/>
              <w:t>[134]</w:t>
            </w:r>
            <w:r w:rsidRPr="00B2307E">
              <w:rPr>
                <w:lang w:val="el-GR"/>
              </w:rPr>
              <w:t xml:space="preserve"> ἐπεὶ κρεῖττον ἦν</w:t>
            </w:r>
            <w:r w:rsidRPr="00B2307E">
              <w:rPr>
                <w:rStyle w:val="Funotenzeichen"/>
                <w:lang w:val="el-GR"/>
              </w:rPr>
              <w:footnoteReference w:id="9"/>
            </w:r>
            <w:r w:rsidRPr="00B2307E">
              <w:rPr>
                <w:lang w:val="el-GR"/>
              </w:rPr>
              <w:t xml:space="preserve"> τῷ περὶ θεῶν μύθῳ κατακολουθεῖν ἢ τῇ τῶν φυσικῶν εἱμαρμένῃ δουλεύειν· ὁ μὲν </w:t>
            </w:r>
            <w:r w:rsidRPr="00B2307E">
              <w:rPr>
                <w:rStyle w:val="Funotenzeichen"/>
                <w:lang w:val="el-GR"/>
              </w:rPr>
              <w:footnoteReference w:id="10"/>
            </w:r>
            <w:r w:rsidRPr="00B2307E">
              <w:rPr>
                <w:lang w:val="el-GR"/>
              </w:rPr>
              <w:t>γὰρ ἐλπίδα παραιτήσεως ὑπογράφει θεῶν διὰ τιμῆς, ἣ δὲ</w:t>
            </w:r>
            <w:r w:rsidRPr="00B2307E">
              <w:rPr>
                <w:rStyle w:val="Funotenzeichen"/>
                <w:lang w:val="el-GR"/>
              </w:rPr>
              <w:footnoteReference w:id="11"/>
            </w:r>
            <w:r w:rsidRPr="00B2307E">
              <w:rPr>
                <w:lang w:val="el-GR"/>
              </w:rPr>
              <w:t xml:space="preserve"> ἀπαραίτητον ἔχει τὴν ἀνάγκην. τὴν δὲ τύχην οὔτε θεὸν ὡς οἱ πολλοὶ νομίζουσιν ὑπολαμβάνων, - οὐθὲν γὰρ ἀτάκτως θεῷ πράττεται - οὔτε ἀβέβαιον αἰτίαν, &lt;οὐκ&gt; οἴεται</w:t>
            </w:r>
            <w:r w:rsidRPr="00B2307E">
              <w:rPr>
                <w:rStyle w:val="Funotenzeichen"/>
                <w:lang w:val="el-GR"/>
              </w:rPr>
              <w:footnoteReference w:id="12"/>
            </w:r>
            <w:r w:rsidRPr="00B2307E">
              <w:rPr>
                <w:lang w:val="el-GR"/>
              </w:rPr>
              <w:t xml:space="preserve"> μὲν γὰρ ἀγαθὸν ἢ κακὸν ἐκ ταύτης</w:t>
            </w:r>
            <w:r w:rsidRPr="00B2307E">
              <w:rPr>
                <w:rStyle w:val="Funotenzeichen"/>
                <w:lang w:val="el-GR"/>
              </w:rPr>
              <w:footnoteReference w:id="13"/>
            </w:r>
            <w:r w:rsidRPr="00B2307E">
              <w:rPr>
                <w:lang w:val="el-GR"/>
              </w:rPr>
              <w:t xml:space="preserve"> πρὸς τὸ μακαρίως ζῆν ἀνθρώποις δίδοσθαι, ἀρχὰς μέντοι μεγάλων ἀγαθῶν ἢ κακῶν ὑπὸ ταύτης χορηγεῖσθαι· </w:t>
            </w:r>
          </w:p>
        </w:tc>
        <w:tc>
          <w:tcPr>
            <w:tcW w:w="703" w:type="dxa"/>
          </w:tcPr>
          <w:p w14:paraId="19CD7C55" w14:textId="77777777" w:rsidR="00B2307E" w:rsidRPr="00B2307E" w:rsidRDefault="00B2307E" w:rsidP="00CB14F8">
            <w:pPr>
              <w:pStyle w:val="StandardWeb"/>
              <w:rPr>
                <w:color w:val="0000FF"/>
                <w:sz w:val="17"/>
                <w:szCs w:val="17"/>
                <w:lang w:val="el-GR"/>
              </w:rPr>
            </w:pPr>
          </w:p>
        </w:tc>
      </w:tr>
      <w:tr w:rsidR="00B2307E" w:rsidRPr="00763E60" w14:paraId="7BDAE2FC" w14:textId="37F99CC7" w:rsidTr="00B2307E">
        <w:tc>
          <w:tcPr>
            <w:tcW w:w="9073" w:type="dxa"/>
          </w:tcPr>
          <w:p w14:paraId="272970D8" w14:textId="77777777" w:rsidR="00B2307E" w:rsidRPr="00763E60" w:rsidRDefault="00B2307E" w:rsidP="00CB14F8">
            <w:pPr>
              <w:pStyle w:val="StandardWeb"/>
              <w:rPr>
                <w:lang w:val="el-GR"/>
              </w:rPr>
            </w:pPr>
            <w:r w:rsidRPr="00B2307E">
              <w:rPr>
                <w:color w:val="0000FF"/>
                <w:sz w:val="17"/>
                <w:szCs w:val="17"/>
                <w:lang w:val="el-GR"/>
              </w:rPr>
              <w:t>[135]</w:t>
            </w:r>
            <w:r w:rsidRPr="00B2307E">
              <w:rPr>
                <w:lang w:val="el-GR"/>
              </w:rPr>
              <w:t xml:space="preserve"> κρεῖττον εἶναι νομίζων εὐλογίστως ἀτυχεῖν ἢ ἀλογίστως εὐτυχεῖν· βέλτιον γὰρ ἐν ταῖς πράξεσι τὸ καλῶς κριθὲν &lt;μὴ ὀρθωθῆναι ἢ τὸ μὴ καλῶς κριθὲν&gt; ὀρθωθῆναι διὰ ταύτην. Ταῦτα οὖν καὶ τὰ τούτοις συγγενῆ μελέτα πρὸς σεαυτὸν ἡμέρας καὶ νυκτὸς πρός τε τὸν ὅμοιον σεαυτῷ, καὶ οὐδέποτε οὔθ’ ὕπαρ οὔτ’ ὄναρ διαταραχθήσῃ, ζήσῃ δὲ ὡς θεὸς ἐν ἀνθρώποις. οὐθὲν γὰρ ἔοικε θνητῷ ζῴῳ ζῶν ἄνθρωπος ἐν ἀθανάτοις ἀγαθοῖς. </w:t>
            </w:r>
          </w:p>
        </w:tc>
        <w:tc>
          <w:tcPr>
            <w:tcW w:w="703" w:type="dxa"/>
          </w:tcPr>
          <w:p w14:paraId="7E005CED" w14:textId="77777777" w:rsidR="00B2307E" w:rsidRPr="00B2307E" w:rsidRDefault="00B2307E" w:rsidP="00CB14F8">
            <w:pPr>
              <w:pStyle w:val="StandardWeb"/>
              <w:rPr>
                <w:color w:val="0000FF"/>
                <w:sz w:val="17"/>
                <w:szCs w:val="17"/>
                <w:lang w:val="el-GR"/>
              </w:rPr>
            </w:pPr>
          </w:p>
        </w:tc>
      </w:tr>
    </w:tbl>
    <w:p w14:paraId="5263A03F" w14:textId="2F60E169" w:rsidR="00763E60" w:rsidRPr="00763E60" w:rsidRDefault="00763E60" w:rsidP="00B2307E">
      <w:pPr>
        <w:pStyle w:val="StandardWeb"/>
        <w:rPr>
          <w:lang w:val="el-GR"/>
        </w:rPr>
      </w:pPr>
    </w:p>
    <w:sectPr w:rsidR="00763E60" w:rsidRPr="00763E60" w:rsidSect="00CF0EBF">
      <w:headerReference w:type="default" r:id="rId7"/>
      <w:pgSz w:w="11906" w:h="16838"/>
      <w:pgMar w:top="709" w:right="1418" w:bottom="1134" w:left="1418" w:header="709" w:footer="125"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BBFAA" w14:textId="77777777" w:rsidR="000E5D01" w:rsidRDefault="000E5D01" w:rsidP="00EB068D">
      <w:pPr>
        <w:spacing w:after="0"/>
      </w:pPr>
      <w:r>
        <w:separator/>
      </w:r>
    </w:p>
  </w:endnote>
  <w:endnote w:type="continuationSeparator" w:id="0">
    <w:p w14:paraId="64271A5A" w14:textId="77777777" w:rsidR="000E5D01" w:rsidRDefault="000E5D01" w:rsidP="00EB06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B83EF" w14:textId="77777777" w:rsidR="000E5D01" w:rsidRDefault="000E5D01" w:rsidP="00EB068D">
      <w:pPr>
        <w:spacing w:after="0"/>
      </w:pPr>
      <w:r>
        <w:separator/>
      </w:r>
    </w:p>
  </w:footnote>
  <w:footnote w:type="continuationSeparator" w:id="0">
    <w:p w14:paraId="75448B24" w14:textId="77777777" w:rsidR="000E5D01" w:rsidRDefault="000E5D01" w:rsidP="00EB068D">
      <w:pPr>
        <w:spacing w:after="0"/>
      </w:pPr>
      <w:r>
        <w:continuationSeparator/>
      </w:r>
    </w:p>
  </w:footnote>
  <w:footnote w:id="1">
    <w:p w14:paraId="1742D98E" w14:textId="77777777" w:rsidR="00B2307E" w:rsidRPr="00EB068D" w:rsidRDefault="00B2307E">
      <w:pPr>
        <w:pStyle w:val="Funotentext"/>
      </w:pPr>
      <w:r>
        <w:rPr>
          <w:rStyle w:val="Funotenzeichen"/>
        </w:rPr>
        <w:footnoteRef/>
      </w:r>
      <w:r w:rsidRPr="00EB068D">
        <w:rPr>
          <w:lang w:val="el-GR"/>
        </w:rPr>
        <w:t xml:space="preserve"> διὰ τὴν χάριν τῶν γεγονότων: γεγονότων = </w:t>
      </w:r>
      <w:r>
        <w:t>Gen</w:t>
      </w:r>
      <w:r w:rsidRPr="00EB068D">
        <w:rPr>
          <w:lang w:val="el-GR"/>
        </w:rPr>
        <w:t>.</w:t>
      </w:r>
      <w:r>
        <w:t>Attr</w:t>
      </w:r>
      <w:r w:rsidRPr="00EB068D">
        <w:rPr>
          <w:lang w:val="el-GR"/>
        </w:rPr>
        <w:t xml:space="preserve">. </w:t>
      </w:r>
      <w:r>
        <w:t>zu</w:t>
      </w:r>
      <w:r w:rsidRPr="00EB068D">
        <w:rPr>
          <w:lang w:val="el-GR"/>
        </w:rPr>
        <w:t xml:space="preserve"> </w:t>
      </w:r>
      <w:r>
        <w:rPr>
          <w:lang w:val="el-GR"/>
        </w:rPr>
        <w:t xml:space="preserve">τοῖς ἀγαθοῖς, χάρις </w:t>
      </w:r>
      <w:r>
        <w:t>= Gunst des Schicksals</w:t>
      </w:r>
    </w:p>
  </w:footnote>
  <w:footnote w:id="2">
    <w:p w14:paraId="7AA0E7BC" w14:textId="77777777" w:rsidR="00B2307E" w:rsidRPr="00715FB4" w:rsidRDefault="00B2307E">
      <w:pPr>
        <w:pStyle w:val="Funotentext"/>
      </w:pPr>
      <w:r>
        <w:rPr>
          <w:rStyle w:val="Funotenzeichen"/>
        </w:rPr>
        <w:footnoteRef/>
      </w:r>
      <w:r>
        <w:t xml:space="preserve"> </w:t>
      </w:r>
      <w:r w:rsidRPr="00763E60">
        <w:rPr>
          <w:lang w:val="el-GR"/>
        </w:rPr>
        <w:t>ἦν</w:t>
      </w:r>
      <w:r w:rsidRPr="00715FB4">
        <w:t xml:space="preserve"> </w:t>
      </w:r>
      <w:r w:rsidRPr="00763E60">
        <w:rPr>
          <w:lang w:val="el-GR"/>
        </w:rPr>
        <w:t>βεβουλευμένον</w:t>
      </w:r>
      <w:r>
        <w:t xml:space="preserve"> = </w:t>
      </w:r>
      <w:r>
        <w:rPr>
          <w:lang w:val="el-GR"/>
        </w:rPr>
        <w:t>ἐβεβούλευτο</w:t>
      </w:r>
      <w:r w:rsidRPr="00715FB4">
        <w:t xml:space="preserve"> </w:t>
      </w:r>
      <w:r>
        <w:t xml:space="preserve">(3.Sg.n.Ind.Perf.P. &gt; Irrealis!) </w:t>
      </w:r>
    </w:p>
  </w:footnote>
  <w:footnote w:id="3">
    <w:p w14:paraId="09E71E9F" w14:textId="77777777" w:rsidR="00B2307E" w:rsidRDefault="00B2307E">
      <w:pPr>
        <w:pStyle w:val="Funotentext"/>
      </w:pPr>
      <w:r>
        <w:rPr>
          <w:rStyle w:val="Funotenzeichen"/>
        </w:rPr>
        <w:footnoteRef/>
      </w:r>
      <w:r>
        <w:t xml:space="preserve"> erg. </w:t>
      </w:r>
      <w:r w:rsidRPr="00763E60">
        <w:rPr>
          <w:lang w:val="el-GR"/>
        </w:rPr>
        <w:t>διὰ</w:t>
      </w:r>
      <w:r w:rsidRPr="00DD3990">
        <w:t xml:space="preserve"> </w:t>
      </w:r>
      <w:r w:rsidRPr="00763E60">
        <w:rPr>
          <w:lang w:val="el-GR"/>
        </w:rPr>
        <w:t>τὸ</w:t>
      </w:r>
      <w:r w:rsidRPr="00DD3990">
        <w:t xml:space="preserve"> </w:t>
      </w:r>
      <w:r>
        <w:t>&lt;</w:t>
      </w:r>
      <w:r>
        <w:rPr>
          <w:lang w:val="el-GR"/>
        </w:rPr>
        <w:t>αὐτὴν</w:t>
      </w:r>
      <w:r w:rsidRPr="00DD3990">
        <w:t xml:space="preserve"> </w:t>
      </w:r>
      <w:r w:rsidRPr="00763E60">
        <w:rPr>
          <w:lang w:val="el-GR"/>
        </w:rPr>
        <w:t>φύσιν</w:t>
      </w:r>
      <w:r w:rsidRPr="00DD3990">
        <w:t xml:space="preserve"> </w:t>
      </w:r>
      <w:r w:rsidRPr="00763E60">
        <w:rPr>
          <w:lang w:val="el-GR"/>
        </w:rPr>
        <w:t>ἔχειν</w:t>
      </w:r>
      <w:r w:rsidRPr="00DD3990">
        <w:t xml:space="preserve"> &lt;</w:t>
      </w:r>
      <w:r>
        <w:rPr>
          <w:lang w:val="el-GR"/>
        </w:rPr>
        <w:t>ὑμῖν</w:t>
      </w:r>
      <w:r w:rsidRPr="00DD3990">
        <w:t xml:space="preserve">&gt; </w:t>
      </w:r>
      <w:r w:rsidRPr="00763E60">
        <w:rPr>
          <w:lang w:val="el-GR"/>
        </w:rPr>
        <w:t>οἰκείαν</w:t>
      </w:r>
    </w:p>
  </w:footnote>
  <w:footnote w:id="4">
    <w:p w14:paraId="028E6F0A" w14:textId="77777777" w:rsidR="00B2307E" w:rsidRPr="00DD3990" w:rsidRDefault="00B2307E">
      <w:pPr>
        <w:pStyle w:val="Funotentext"/>
      </w:pPr>
      <w:r>
        <w:rPr>
          <w:rStyle w:val="Funotenzeichen"/>
        </w:rPr>
        <w:footnoteRef/>
      </w:r>
      <w:r>
        <w:t xml:space="preserve"> </w:t>
      </w:r>
      <w:r w:rsidRPr="00763E60">
        <w:rPr>
          <w:lang w:val="el-GR"/>
        </w:rPr>
        <w:t>ἀγαθόν</w:t>
      </w:r>
      <w:r>
        <w:t xml:space="preserve">, </w:t>
      </w:r>
      <w:r>
        <w:rPr>
          <w:lang w:val="el-GR"/>
        </w:rPr>
        <w:t>αἱρετή</w:t>
      </w:r>
      <w:r>
        <w:t xml:space="preserve"> = Prädikatsnomina, erg. </w:t>
      </w:r>
      <w:r>
        <w:rPr>
          <w:lang w:val="el-GR"/>
        </w:rPr>
        <w:t>ἐστίν</w:t>
      </w:r>
    </w:p>
  </w:footnote>
  <w:footnote w:id="5">
    <w:p w14:paraId="2D468BBB" w14:textId="77777777" w:rsidR="00B2307E" w:rsidRPr="00B62D84" w:rsidRDefault="00B2307E">
      <w:pPr>
        <w:pStyle w:val="Funotentext"/>
      </w:pPr>
      <w:r>
        <w:rPr>
          <w:rStyle w:val="Funotenzeichen"/>
        </w:rPr>
        <w:footnoteRef/>
      </w:r>
      <w:r>
        <w:t xml:space="preserve"> </w:t>
      </w:r>
      <w:r w:rsidRPr="00763E60">
        <w:rPr>
          <w:lang w:val="el-GR"/>
        </w:rPr>
        <w:t>πεφυκυῖα</w:t>
      </w:r>
      <w:r w:rsidRPr="00DD3990">
        <w:t xml:space="preserve"> </w:t>
      </w:r>
      <w:r>
        <w:t xml:space="preserve">= Prädikatsnomen; </w:t>
      </w:r>
      <w:r w:rsidRPr="00763E60">
        <w:rPr>
          <w:lang w:val="el-GR"/>
        </w:rPr>
        <w:t>φευκτὴ</w:t>
      </w:r>
      <w:r>
        <w:t xml:space="preserve"> = Prädikatsnomen dazu</w:t>
      </w:r>
    </w:p>
  </w:footnote>
  <w:footnote w:id="6">
    <w:p w14:paraId="066B4827" w14:textId="77777777" w:rsidR="00B2307E" w:rsidRPr="00064BDB" w:rsidRDefault="00B2307E">
      <w:pPr>
        <w:pStyle w:val="Funotentext"/>
      </w:pPr>
      <w:r>
        <w:rPr>
          <w:rStyle w:val="Funotenzeichen"/>
        </w:rPr>
        <w:footnoteRef/>
      </w:r>
      <w:r>
        <w:t xml:space="preserve"> </w:t>
      </w:r>
      <w:r w:rsidRPr="00763E60">
        <w:rPr>
          <w:lang w:val="el-GR"/>
        </w:rPr>
        <w:t>κατ</w:t>
      </w:r>
      <w:r w:rsidRPr="00064BDB">
        <w:t xml:space="preserve">’ </w:t>
      </w:r>
      <w:r w:rsidRPr="00763E60">
        <w:rPr>
          <w:lang w:val="el-GR"/>
        </w:rPr>
        <w:t>ἔνδειαν</w:t>
      </w:r>
      <w:r w:rsidRPr="00064BDB">
        <w:t xml:space="preserve"> </w:t>
      </w:r>
      <w:r>
        <w:t xml:space="preserve">zu </w:t>
      </w:r>
      <w:r w:rsidRPr="00763E60">
        <w:rPr>
          <w:lang w:val="el-GR"/>
        </w:rPr>
        <w:t>τὸ</w:t>
      </w:r>
      <w:r w:rsidRPr="00064BDB">
        <w:t xml:space="preserve"> </w:t>
      </w:r>
      <w:r w:rsidRPr="00763E60">
        <w:rPr>
          <w:lang w:val="el-GR"/>
        </w:rPr>
        <w:t>ἀλγοῦν</w:t>
      </w:r>
      <w:r>
        <w:t>: „durch Hunger“</w:t>
      </w:r>
      <w:r w:rsidRPr="00064BDB">
        <w:t xml:space="preserve"> </w:t>
      </w:r>
    </w:p>
  </w:footnote>
  <w:footnote w:id="7">
    <w:p w14:paraId="5CBBA1A9" w14:textId="77777777" w:rsidR="00B2307E" w:rsidRPr="00CF0EBF" w:rsidRDefault="00B2307E" w:rsidP="00064BDB">
      <w:pPr>
        <w:pStyle w:val="Funotentext"/>
      </w:pPr>
      <w:r>
        <w:rPr>
          <w:rStyle w:val="Funotenzeichen"/>
        </w:rPr>
        <w:footnoteRef/>
      </w:r>
      <w:r w:rsidRPr="00064BDB">
        <w:t xml:space="preserve"> </w:t>
      </w:r>
      <w:r>
        <w:rPr>
          <w:lang w:val="el-GR"/>
        </w:rPr>
        <w:t>τοῖς</w:t>
      </w:r>
      <w:r w:rsidRPr="00CF0EBF">
        <w:t xml:space="preserve"> </w:t>
      </w:r>
      <w:r>
        <w:rPr>
          <w:lang w:val="el-GR"/>
        </w:rPr>
        <w:t>πολυτέλεσιν</w:t>
      </w:r>
      <w:r w:rsidRPr="00064BDB">
        <w:t xml:space="preserve"> </w:t>
      </w:r>
      <w:r>
        <w:t xml:space="preserve">erg. </w:t>
      </w:r>
      <w:r>
        <w:rPr>
          <w:lang w:val="el-GR"/>
        </w:rPr>
        <w:t>διαίταις</w:t>
      </w:r>
    </w:p>
  </w:footnote>
  <w:footnote w:id="8">
    <w:p w14:paraId="2535B1A7" w14:textId="77777777" w:rsidR="00B2307E" w:rsidRPr="003263FB" w:rsidRDefault="00B2307E">
      <w:pPr>
        <w:pStyle w:val="Funotentext"/>
      </w:pPr>
      <w:r>
        <w:rPr>
          <w:rStyle w:val="Funotenzeichen"/>
        </w:rPr>
        <w:footnoteRef/>
      </w:r>
      <w:r>
        <w:t xml:space="preserve"> </w:t>
      </w:r>
      <w:r>
        <w:rPr>
          <w:lang w:val="el-GR"/>
        </w:rPr>
        <w:t>τοῦ</w:t>
      </w:r>
      <w:r w:rsidRPr="00B85310">
        <w:t xml:space="preserve"> </w:t>
      </w:r>
      <w:r>
        <w:t>gehört zu allen in [133] folgenden Partizipien im Genitiv</w:t>
      </w:r>
      <w:r w:rsidRPr="003263FB">
        <w:t xml:space="preserve"> </w:t>
      </w:r>
    </w:p>
  </w:footnote>
  <w:footnote w:id="9">
    <w:p w14:paraId="17ED24AB" w14:textId="77777777" w:rsidR="00B2307E" w:rsidRPr="00BE0345" w:rsidRDefault="00B2307E">
      <w:pPr>
        <w:pStyle w:val="Funotentext"/>
      </w:pPr>
      <w:r>
        <w:rPr>
          <w:rStyle w:val="Funotenzeichen"/>
        </w:rPr>
        <w:footnoteRef/>
      </w:r>
      <w:r>
        <w:t xml:space="preserve"> </w:t>
      </w:r>
      <w:r w:rsidRPr="00763E60">
        <w:rPr>
          <w:lang w:val="el-GR"/>
        </w:rPr>
        <w:t>κρεῖττον</w:t>
      </w:r>
      <w:r w:rsidRPr="00DE308D">
        <w:t xml:space="preserve"> </w:t>
      </w:r>
      <w:r w:rsidRPr="00763E60">
        <w:rPr>
          <w:lang w:val="el-GR"/>
        </w:rPr>
        <w:t>ἦν</w:t>
      </w:r>
      <w:r>
        <w:t>: Irrealis</w:t>
      </w:r>
    </w:p>
  </w:footnote>
  <w:footnote w:id="10">
    <w:p w14:paraId="7FA47528" w14:textId="77777777" w:rsidR="00B2307E" w:rsidRPr="00FC1210" w:rsidRDefault="00B2307E">
      <w:pPr>
        <w:pStyle w:val="Funotentext"/>
      </w:pPr>
      <w:r>
        <w:rPr>
          <w:rStyle w:val="Funotenzeichen"/>
        </w:rPr>
        <w:footnoteRef/>
      </w:r>
      <w:r>
        <w:t xml:space="preserve"> </w:t>
      </w:r>
      <w:r>
        <w:rPr>
          <w:lang w:val="el-GR"/>
        </w:rPr>
        <w:t>ὁ</w:t>
      </w:r>
      <w:r w:rsidRPr="00FC1210">
        <w:t xml:space="preserve"> </w:t>
      </w:r>
      <w:r>
        <w:rPr>
          <w:lang w:val="el-GR"/>
        </w:rPr>
        <w:t>μέν</w:t>
      </w:r>
      <w:r>
        <w:t xml:space="preserve"> = </w:t>
      </w:r>
      <w:r>
        <w:rPr>
          <w:lang w:val="el-GR"/>
        </w:rPr>
        <w:t>ὁ</w:t>
      </w:r>
      <w:r w:rsidRPr="00CF0EBF">
        <w:t xml:space="preserve"> </w:t>
      </w:r>
      <w:r>
        <w:rPr>
          <w:lang w:val="el-GR"/>
        </w:rPr>
        <w:t>μῦθος</w:t>
      </w:r>
    </w:p>
  </w:footnote>
  <w:footnote w:id="11">
    <w:p w14:paraId="632F72D8" w14:textId="77777777" w:rsidR="00B2307E" w:rsidRPr="00CF0EBF" w:rsidRDefault="00B2307E">
      <w:pPr>
        <w:pStyle w:val="Funotentext"/>
      </w:pPr>
      <w:r>
        <w:rPr>
          <w:rStyle w:val="Funotenzeichen"/>
        </w:rPr>
        <w:footnoteRef/>
      </w:r>
      <w:r>
        <w:t xml:space="preserve"> </w:t>
      </w:r>
      <w:r w:rsidRPr="00763E60">
        <w:rPr>
          <w:lang w:val="el-GR"/>
        </w:rPr>
        <w:t>ἣ</w:t>
      </w:r>
      <w:r w:rsidRPr="00FC1210">
        <w:t xml:space="preserve"> </w:t>
      </w:r>
      <w:r w:rsidRPr="00763E60">
        <w:rPr>
          <w:lang w:val="el-GR"/>
        </w:rPr>
        <w:t>δὲ</w:t>
      </w:r>
      <w:r w:rsidRPr="00FC1210">
        <w:t xml:space="preserve"> </w:t>
      </w:r>
      <w:r>
        <w:t xml:space="preserve">= </w:t>
      </w:r>
      <w:r>
        <w:rPr>
          <w:lang w:val="el-GR"/>
        </w:rPr>
        <w:t>ἡ</w:t>
      </w:r>
      <w:r w:rsidRPr="00CF0EBF">
        <w:t xml:space="preserve"> </w:t>
      </w:r>
      <w:r>
        <w:rPr>
          <w:lang w:val="el-GR"/>
        </w:rPr>
        <w:t>τύχη</w:t>
      </w:r>
    </w:p>
  </w:footnote>
  <w:footnote w:id="12">
    <w:p w14:paraId="2E55B74A" w14:textId="77777777" w:rsidR="00B2307E" w:rsidRPr="00DE308D" w:rsidRDefault="00B2307E">
      <w:pPr>
        <w:pStyle w:val="Funotentext"/>
      </w:pPr>
      <w:r>
        <w:rPr>
          <w:rStyle w:val="Funotenzeichen"/>
        </w:rPr>
        <w:footnoteRef/>
      </w:r>
      <w:r>
        <w:t xml:space="preserve"> o</w:t>
      </w:r>
      <w:r>
        <w:rPr>
          <w:lang w:val="el-GR"/>
        </w:rPr>
        <w:t>ἴεται</w:t>
      </w:r>
      <w:r>
        <w:t>:</w:t>
      </w:r>
      <w:r w:rsidRPr="00DE308D">
        <w:t xml:space="preserve"> </w:t>
      </w:r>
      <w:r>
        <w:t>Subjekt ist derjenige, dessen Einstellungen in den Partizipien von [133] dargestellt wurden, der Weise</w:t>
      </w:r>
    </w:p>
  </w:footnote>
  <w:footnote w:id="13">
    <w:p w14:paraId="29655E29" w14:textId="77777777" w:rsidR="00B2307E" w:rsidRPr="00FC1210" w:rsidRDefault="00B2307E">
      <w:pPr>
        <w:pStyle w:val="Funotentext"/>
        <w:rPr>
          <w:lang w:val="el-GR"/>
        </w:rPr>
      </w:pPr>
      <w:r>
        <w:rPr>
          <w:rStyle w:val="Funotenzeichen"/>
        </w:rPr>
        <w:footnoteRef/>
      </w:r>
      <w:r>
        <w:t xml:space="preserve"> </w:t>
      </w:r>
      <w:r w:rsidRPr="00763E60">
        <w:rPr>
          <w:lang w:val="el-GR"/>
        </w:rPr>
        <w:t>ταύτης</w:t>
      </w:r>
      <w:r>
        <w:rPr>
          <w:lang w:val="el-GR"/>
        </w:rPr>
        <w:t xml:space="preserve"> </w:t>
      </w:r>
      <w:r>
        <w:t xml:space="preserve">= </w:t>
      </w:r>
      <w:r>
        <w:rPr>
          <w:lang w:val="el-GR"/>
        </w:rPr>
        <w:t>τῆς τύχης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646945"/>
      <w:docPartObj>
        <w:docPartGallery w:val="Page Numbers (Top of Page)"/>
        <w:docPartUnique/>
      </w:docPartObj>
    </w:sdtPr>
    <w:sdtContent>
      <w:p w14:paraId="6E0D8F4E" w14:textId="354466FD" w:rsidR="00CF0EBF" w:rsidRDefault="00CF0EBF">
        <w:pPr>
          <w:pStyle w:val="Kopfzeile"/>
          <w:jc w:val="right"/>
        </w:pPr>
        <w:r>
          <w:fldChar w:fldCharType="begin"/>
        </w:r>
        <w:r>
          <w:instrText>PAGE   \* MERGEFORMAT</w:instrText>
        </w:r>
        <w:r>
          <w:fldChar w:fldCharType="separate"/>
        </w:r>
        <w: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8B"/>
    <w:rsid w:val="00064BDB"/>
    <w:rsid w:val="000C1AB6"/>
    <w:rsid w:val="000D61D4"/>
    <w:rsid w:val="000E18A7"/>
    <w:rsid w:val="000E5D01"/>
    <w:rsid w:val="001C6B15"/>
    <w:rsid w:val="0023298B"/>
    <w:rsid w:val="0023426D"/>
    <w:rsid w:val="002C58E0"/>
    <w:rsid w:val="003263FB"/>
    <w:rsid w:val="00520FE6"/>
    <w:rsid w:val="00551A8E"/>
    <w:rsid w:val="00660C7A"/>
    <w:rsid w:val="00715FB4"/>
    <w:rsid w:val="00763112"/>
    <w:rsid w:val="00763E60"/>
    <w:rsid w:val="007D5CBD"/>
    <w:rsid w:val="0097628B"/>
    <w:rsid w:val="00AC30C4"/>
    <w:rsid w:val="00B21E58"/>
    <w:rsid w:val="00B2307E"/>
    <w:rsid w:val="00B46BAD"/>
    <w:rsid w:val="00B4790B"/>
    <w:rsid w:val="00B62D84"/>
    <w:rsid w:val="00B85310"/>
    <w:rsid w:val="00BE0345"/>
    <w:rsid w:val="00C37E7E"/>
    <w:rsid w:val="00C454E1"/>
    <w:rsid w:val="00C8362E"/>
    <w:rsid w:val="00CC270F"/>
    <w:rsid w:val="00CF03ED"/>
    <w:rsid w:val="00CF0EBF"/>
    <w:rsid w:val="00D16A6A"/>
    <w:rsid w:val="00D45504"/>
    <w:rsid w:val="00DC0596"/>
    <w:rsid w:val="00DD3990"/>
    <w:rsid w:val="00DE308D"/>
    <w:rsid w:val="00E9072B"/>
    <w:rsid w:val="00EB068D"/>
    <w:rsid w:val="00F21CC8"/>
    <w:rsid w:val="00FA46D6"/>
    <w:rsid w:val="00FC1210"/>
    <w:rsid w:val="00FC7C90"/>
    <w:rsid w:val="00FE6A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E8644"/>
  <w15:chartTrackingRefBased/>
  <w15:docId w15:val="{C4E725F3-6609-4850-BD67-43832986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63E60"/>
    <w:pPr>
      <w:spacing w:before="100" w:beforeAutospacing="1" w:after="100" w:afterAutospacing="1"/>
    </w:pPr>
    <w:rPr>
      <w:rFonts w:ascii="Times New Roman" w:eastAsia="Times New Roman" w:hAnsi="Times New Roman" w:cs="Times New Roman"/>
      <w:sz w:val="24"/>
      <w:szCs w:val="24"/>
      <w:lang w:eastAsia="de-DE"/>
    </w:rPr>
  </w:style>
  <w:style w:type="paragraph" w:styleId="Funotentext">
    <w:name w:val="footnote text"/>
    <w:basedOn w:val="Standard"/>
    <w:link w:val="FunotentextZchn"/>
    <w:uiPriority w:val="99"/>
    <w:semiHidden/>
    <w:unhideWhenUsed/>
    <w:rsid w:val="00EB068D"/>
    <w:pPr>
      <w:spacing w:after="0"/>
    </w:pPr>
    <w:rPr>
      <w:sz w:val="20"/>
      <w:szCs w:val="20"/>
    </w:rPr>
  </w:style>
  <w:style w:type="character" w:customStyle="1" w:styleId="FunotentextZchn">
    <w:name w:val="Fußnotentext Zchn"/>
    <w:basedOn w:val="Absatz-Standardschriftart"/>
    <w:link w:val="Funotentext"/>
    <w:uiPriority w:val="99"/>
    <w:semiHidden/>
    <w:rsid w:val="00EB068D"/>
    <w:rPr>
      <w:sz w:val="20"/>
      <w:szCs w:val="20"/>
    </w:rPr>
  </w:style>
  <w:style w:type="character" w:styleId="Funotenzeichen">
    <w:name w:val="footnote reference"/>
    <w:basedOn w:val="Absatz-Standardschriftart"/>
    <w:uiPriority w:val="99"/>
    <w:semiHidden/>
    <w:unhideWhenUsed/>
    <w:rsid w:val="00EB068D"/>
    <w:rPr>
      <w:vertAlign w:val="superscript"/>
    </w:rPr>
  </w:style>
  <w:style w:type="character" w:customStyle="1" w:styleId="fontstyle01">
    <w:name w:val="fontstyle01"/>
    <w:basedOn w:val="Absatz-Standardschriftart"/>
    <w:rsid w:val="00B85310"/>
    <w:rPr>
      <w:rFonts w:ascii="Constantia" w:hAnsi="Constantia" w:hint="default"/>
      <w:b w:val="0"/>
      <w:bCs w:val="0"/>
      <w:i w:val="0"/>
      <w:iCs w:val="0"/>
      <w:color w:val="000000"/>
      <w:sz w:val="20"/>
      <w:szCs w:val="20"/>
    </w:rPr>
  </w:style>
  <w:style w:type="paragraph" w:styleId="Kopfzeile">
    <w:name w:val="header"/>
    <w:basedOn w:val="Standard"/>
    <w:link w:val="KopfzeileZchn"/>
    <w:uiPriority w:val="99"/>
    <w:unhideWhenUsed/>
    <w:rsid w:val="00CF0EBF"/>
    <w:pPr>
      <w:tabs>
        <w:tab w:val="center" w:pos="4536"/>
        <w:tab w:val="right" w:pos="9072"/>
      </w:tabs>
      <w:spacing w:after="0"/>
    </w:pPr>
  </w:style>
  <w:style w:type="character" w:customStyle="1" w:styleId="KopfzeileZchn">
    <w:name w:val="Kopfzeile Zchn"/>
    <w:basedOn w:val="Absatz-Standardschriftart"/>
    <w:link w:val="Kopfzeile"/>
    <w:uiPriority w:val="99"/>
    <w:rsid w:val="00CF0EBF"/>
  </w:style>
  <w:style w:type="paragraph" w:styleId="Fuzeile">
    <w:name w:val="footer"/>
    <w:basedOn w:val="Standard"/>
    <w:link w:val="FuzeileZchn"/>
    <w:uiPriority w:val="99"/>
    <w:unhideWhenUsed/>
    <w:rsid w:val="00CF0EBF"/>
    <w:pPr>
      <w:tabs>
        <w:tab w:val="center" w:pos="4536"/>
        <w:tab w:val="right" w:pos="9072"/>
      </w:tabs>
      <w:spacing w:after="0"/>
    </w:pPr>
  </w:style>
  <w:style w:type="character" w:customStyle="1" w:styleId="FuzeileZchn">
    <w:name w:val="Fußzeile Zchn"/>
    <w:basedOn w:val="Absatz-Standardschriftart"/>
    <w:link w:val="Fuzeile"/>
    <w:uiPriority w:val="99"/>
    <w:rsid w:val="00CF0EBF"/>
  </w:style>
  <w:style w:type="character" w:styleId="Zeilennummer">
    <w:name w:val="line number"/>
    <w:basedOn w:val="Absatz-Standardschriftart"/>
    <w:uiPriority w:val="99"/>
    <w:semiHidden/>
    <w:unhideWhenUsed/>
    <w:rsid w:val="00CF0EBF"/>
  </w:style>
  <w:style w:type="table" w:styleId="Tabellenraster">
    <w:name w:val="Table Grid"/>
    <w:basedOn w:val="NormaleTabelle"/>
    <w:uiPriority w:val="39"/>
    <w:rsid w:val="00B2307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34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56BF2-6849-44C5-B38D-E0D80D6F4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1125</Words>
  <Characters>7091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Holtiegel</dc:creator>
  <cp:keywords/>
  <dc:description/>
  <cp:lastModifiedBy>Friedrich Holtiegel</cp:lastModifiedBy>
  <cp:revision>18</cp:revision>
  <cp:lastPrinted>2023-01-02T09:19:00Z</cp:lastPrinted>
  <dcterms:created xsi:type="dcterms:W3CDTF">2022-12-28T13:51:00Z</dcterms:created>
  <dcterms:modified xsi:type="dcterms:W3CDTF">2023-02-01T15:43:00Z</dcterms:modified>
</cp:coreProperties>
</file>